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0F05C" w14:textId="77777777" w:rsidR="00452FB8" w:rsidRPr="0049369B" w:rsidRDefault="00452FB8" w:rsidP="00452FB8">
      <w:pPr>
        <w:pStyle w:val="PlainText"/>
        <w:jc w:val="center"/>
        <w:rPr>
          <w:rFonts w:asciiTheme="minorHAnsi" w:hAnsiTheme="minorHAnsi" w:cs="Times New Roman"/>
          <w:b/>
          <w:sz w:val="24"/>
          <w:szCs w:val="24"/>
        </w:rPr>
      </w:pPr>
      <w:r w:rsidRPr="0049369B">
        <w:rPr>
          <w:rFonts w:asciiTheme="minorHAnsi" w:hAnsiTheme="minorHAnsi" w:cs="Times New Roman"/>
          <w:b/>
          <w:sz w:val="24"/>
          <w:szCs w:val="24"/>
        </w:rPr>
        <w:t>Introduction</w:t>
      </w:r>
    </w:p>
    <w:p w14:paraId="1CF1D07E" w14:textId="77777777" w:rsidR="00452FB8" w:rsidRPr="0049369B" w:rsidRDefault="00452FB8" w:rsidP="00004983">
      <w:pPr>
        <w:pStyle w:val="PlainText"/>
        <w:jc w:val="both"/>
        <w:rPr>
          <w:rFonts w:asciiTheme="minorHAnsi" w:hAnsiTheme="minorHAnsi" w:cs="Times New Roman"/>
          <w:sz w:val="24"/>
          <w:szCs w:val="24"/>
        </w:rPr>
      </w:pPr>
    </w:p>
    <w:p w14:paraId="6551DB44" w14:textId="0D901781" w:rsidR="0049369B" w:rsidRPr="0049369B" w:rsidRDefault="001F7D3E" w:rsidP="00004983">
      <w:pPr>
        <w:pStyle w:val="PlainText"/>
        <w:jc w:val="both"/>
        <w:rPr>
          <w:rFonts w:asciiTheme="minorHAnsi" w:hAnsiTheme="minorHAnsi" w:cs="Times New Roman"/>
          <w:sz w:val="24"/>
          <w:szCs w:val="24"/>
        </w:rPr>
      </w:pPr>
      <w:r w:rsidRPr="0049369B">
        <w:rPr>
          <w:rFonts w:asciiTheme="minorHAnsi" w:hAnsiTheme="minorHAnsi" w:cs="Times New Roman"/>
          <w:sz w:val="24"/>
          <w:szCs w:val="24"/>
        </w:rPr>
        <w:t>Th</w:t>
      </w:r>
      <w:r w:rsidR="00384381" w:rsidRPr="0049369B">
        <w:rPr>
          <w:rFonts w:asciiTheme="minorHAnsi" w:hAnsiTheme="minorHAnsi" w:cs="Times New Roman"/>
          <w:sz w:val="24"/>
          <w:szCs w:val="24"/>
        </w:rPr>
        <w:t xml:space="preserve">e </w:t>
      </w:r>
      <w:r w:rsidR="00384381" w:rsidRPr="0049369B">
        <w:rPr>
          <w:rFonts w:asciiTheme="minorHAnsi" w:hAnsiTheme="minorHAnsi" w:cs="Times New Roman"/>
          <w:b/>
          <w:i/>
          <w:sz w:val="24"/>
          <w:szCs w:val="24"/>
        </w:rPr>
        <w:t>I</w:t>
      </w:r>
      <w:r w:rsidR="00E847B4" w:rsidRPr="0049369B">
        <w:rPr>
          <w:rFonts w:asciiTheme="minorHAnsi" w:hAnsiTheme="minorHAnsi" w:cs="Times New Roman"/>
          <w:b/>
          <w:i/>
          <w:sz w:val="24"/>
          <w:szCs w:val="24"/>
        </w:rPr>
        <w:t xml:space="preserve">mplementation and </w:t>
      </w:r>
      <w:r w:rsidR="00384381" w:rsidRPr="0049369B">
        <w:rPr>
          <w:rFonts w:asciiTheme="minorHAnsi" w:hAnsiTheme="minorHAnsi" w:cs="Times New Roman"/>
          <w:b/>
          <w:i/>
          <w:sz w:val="24"/>
          <w:szCs w:val="24"/>
        </w:rPr>
        <w:t xml:space="preserve">Readiness Guide </w:t>
      </w:r>
      <w:r w:rsidR="0049369B">
        <w:rPr>
          <w:rFonts w:asciiTheme="minorHAnsi" w:hAnsiTheme="minorHAnsi" w:cs="Times New Roman"/>
          <w:b/>
          <w:i/>
          <w:sz w:val="24"/>
          <w:szCs w:val="24"/>
        </w:rPr>
        <w:t xml:space="preserve">for </w:t>
      </w:r>
      <w:r w:rsidR="00384381" w:rsidRPr="0049369B">
        <w:rPr>
          <w:rFonts w:asciiTheme="minorHAnsi" w:hAnsiTheme="minorHAnsi" w:cs="Times New Roman"/>
          <w:b/>
          <w:i/>
          <w:sz w:val="24"/>
          <w:szCs w:val="24"/>
        </w:rPr>
        <w:t>the OMB Uniform Guidance</w:t>
      </w:r>
      <w:r w:rsidR="00D75A10" w:rsidRPr="0049369B">
        <w:rPr>
          <w:rFonts w:asciiTheme="minorHAnsi" w:hAnsiTheme="minorHAnsi" w:cs="Times New Roman"/>
          <w:b/>
          <w:i/>
          <w:sz w:val="24"/>
          <w:szCs w:val="24"/>
        </w:rPr>
        <w:t xml:space="preserve"> (</w:t>
      </w:r>
      <w:r w:rsidR="0049369B" w:rsidRPr="0049369B">
        <w:rPr>
          <w:rFonts w:asciiTheme="minorHAnsi" w:hAnsiTheme="minorHAnsi" w:cs="Times New Roman"/>
          <w:b/>
          <w:i/>
          <w:sz w:val="24"/>
          <w:szCs w:val="24"/>
        </w:rPr>
        <w:t>Readiness</w:t>
      </w:r>
      <w:r w:rsidR="00E847B4" w:rsidRPr="0049369B">
        <w:rPr>
          <w:rFonts w:asciiTheme="minorHAnsi" w:hAnsiTheme="minorHAnsi" w:cs="Times New Roman"/>
          <w:b/>
          <w:i/>
          <w:sz w:val="24"/>
          <w:szCs w:val="24"/>
        </w:rPr>
        <w:t xml:space="preserve"> </w:t>
      </w:r>
      <w:r w:rsidR="00D75A10" w:rsidRPr="0049369B">
        <w:rPr>
          <w:rFonts w:asciiTheme="minorHAnsi" w:hAnsiTheme="minorHAnsi" w:cs="Times New Roman"/>
          <w:b/>
          <w:i/>
          <w:sz w:val="24"/>
          <w:szCs w:val="24"/>
        </w:rPr>
        <w:t>Guide)</w:t>
      </w:r>
      <w:r w:rsidR="00384381" w:rsidRPr="0049369B">
        <w:rPr>
          <w:rFonts w:asciiTheme="minorHAnsi" w:hAnsiTheme="minorHAnsi" w:cs="Times New Roman"/>
          <w:sz w:val="24"/>
          <w:szCs w:val="24"/>
        </w:rPr>
        <w:t xml:space="preserve">, developed by </w:t>
      </w:r>
      <w:hyperlink r:id="rId9" w:history="1">
        <w:r w:rsidR="00384381" w:rsidRPr="0049369B">
          <w:rPr>
            <w:rStyle w:val="Hyperlink"/>
            <w:rFonts w:asciiTheme="minorHAnsi" w:hAnsiTheme="minorHAnsi" w:cs="Times New Roman"/>
            <w:sz w:val="24"/>
            <w:szCs w:val="24"/>
          </w:rPr>
          <w:t>COGR</w:t>
        </w:r>
      </w:hyperlink>
      <w:r w:rsidR="00384381" w:rsidRPr="0049369B">
        <w:rPr>
          <w:rFonts w:asciiTheme="minorHAnsi" w:hAnsiTheme="minorHAnsi" w:cs="Times New Roman"/>
          <w:sz w:val="24"/>
          <w:szCs w:val="24"/>
        </w:rPr>
        <w:t xml:space="preserve">, is a resource to help your institution prepare for and implement the </w:t>
      </w:r>
      <w:r w:rsidR="009D54FA" w:rsidRPr="0049369B">
        <w:rPr>
          <w:rFonts w:asciiTheme="minorHAnsi" w:hAnsiTheme="minorHAnsi" w:cs="Times New Roman"/>
          <w:sz w:val="24"/>
          <w:szCs w:val="24"/>
        </w:rPr>
        <w:t xml:space="preserve">OMB Uniform </w:t>
      </w:r>
      <w:r w:rsidR="00F60259" w:rsidRPr="0049369B">
        <w:rPr>
          <w:rFonts w:asciiTheme="minorHAnsi" w:hAnsiTheme="minorHAnsi" w:cs="Times New Roman"/>
          <w:sz w:val="24"/>
          <w:szCs w:val="24"/>
        </w:rPr>
        <w:t>Administr</w:t>
      </w:r>
      <w:bookmarkStart w:id="0" w:name="_GoBack"/>
      <w:bookmarkEnd w:id="0"/>
      <w:r w:rsidR="00F60259" w:rsidRPr="0049369B">
        <w:rPr>
          <w:rFonts w:asciiTheme="minorHAnsi" w:hAnsiTheme="minorHAnsi" w:cs="Times New Roman"/>
          <w:sz w:val="24"/>
          <w:szCs w:val="24"/>
        </w:rPr>
        <w:t xml:space="preserve">ative Requirements, </w:t>
      </w:r>
      <w:r w:rsidR="009D54FA" w:rsidRPr="0049369B">
        <w:rPr>
          <w:rFonts w:asciiTheme="minorHAnsi" w:hAnsiTheme="minorHAnsi" w:cs="Times New Roman"/>
          <w:sz w:val="24"/>
          <w:szCs w:val="24"/>
        </w:rPr>
        <w:t xml:space="preserve">Cost Principles, </w:t>
      </w:r>
      <w:r w:rsidR="00F60259" w:rsidRPr="0049369B">
        <w:rPr>
          <w:rFonts w:asciiTheme="minorHAnsi" w:hAnsiTheme="minorHAnsi" w:cs="Times New Roman"/>
          <w:sz w:val="24"/>
          <w:szCs w:val="24"/>
        </w:rPr>
        <w:t xml:space="preserve">and </w:t>
      </w:r>
      <w:r w:rsidR="009D54FA" w:rsidRPr="0049369B">
        <w:rPr>
          <w:rFonts w:asciiTheme="minorHAnsi" w:hAnsiTheme="minorHAnsi" w:cs="Times New Roman"/>
          <w:sz w:val="24"/>
          <w:szCs w:val="24"/>
        </w:rPr>
        <w:t>Audit Requirements for Federal Awards</w:t>
      </w:r>
      <w:r w:rsidR="00F60259" w:rsidRPr="0049369B">
        <w:rPr>
          <w:rFonts w:asciiTheme="minorHAnsi" w:hAnsiTheme="minorHAnsi" w:cs="Times New Roman"/>
          <w:sz w:val="24"/>
          <w:szCs w:val="24"/>
        </w:rPr>
        <w:t>; Final Rule</w:t>
      </w:r>
      <w:r w:rsidR="009D54FA" w:rsidRPr="0049369B">
        <w:rPr>
          <w:rFonts w:asciiTheme="minorHAnsi" w:hAnsiTheme="minorHAnsi" w:cs="Times New Roman"/>
          <w:sz w:val="24"/>
          <w:szCs w:val="24"/>
        </w:rPr>
        <w:t xml:space="preserve"> </w:t>
      </w:r>
      <w:r w:rsidR="007645A0" w:rsidRPr="0049369B">
        <w:rPr>
          <w:rFonts w:asciiTheme="minorHAnsi" w:hAnsiTheme="minorHAnsi" w:cs="Times New Roman"/>
          <w:sz w:val="24"/>
          <w:szCs w:val="24"/>
        </w:rPr>
        <w:t xml:space="preserve">– 2 CFR Chapter I, Chapter II, Part 200, et al. (i.e., the </w:t>
      </w:r>
      <w:hyperlink r:id="rId10" w:history="1">
        <w:r w:rsidR="007645A0" w:rsidRPr="0049369B">
          <w:rPr>
            <w:rStyle w:val="Hyperlink"/>
            <w:rFonts w:asciiTheme="minorHAnsi" w:hAnsiTheme="minorHAnsi" w:cs="Times New Roman"/>
            <w:sz w:val="24"/>
            <w:szCs w:val="24"/>
          </w:rPr>
          <w:t>Uniform Guidance</w:t>
        </w:r>
      </w:hyperlink>
      <w:r w:rsidR="00384381" w:rsidRPr="0049369B">
        <w:rPr>
          <w:rFonts w:asciiTheme="minorHAnsi" w:hAnsiTheme="minorHAnsi" w:cs="Times New Roman"/>
          <w:sz w:val="24"/>
          <w:szCs w:val="24"/>
        </w:rPr>
        <w:t xml:space="preserve">, </w:t>
      </w:r>
      <w:r w:rsidR="001A0C53" w:rsidRPr="0049369B">
        <w:rPr>
          <w:rFonts w:asciiTheme="minorHAnsi" w:hAnsiTheme="minorHAnsi" w:cs="Times New Roman"/>
          <w:sz w:val="24"/>
          <w:szCs w:val="24"/>
        </w:rPr>
        <w:t>or the UG</w:t>
      </w:r>
      <w:r w:rsidR="007645A0" w:rsidRPr="0049369B">
        <w:rPr>
          <w:rFonts w:asciiTheme="minorHAnsi" w:hAnsiTheme="minorHAnsi" w:cs="Times New Roman"/>
          <w:sz w:val="24"/>
          <w:szCs w:val="24"/>
        </w:rPr>
        <w:t>)</w:t>
      </w:r>
      <w:r w:rsidR="00384381" w:rsidRPr="0049369B">
        <w:rPr>
          <w:rFonts w:asciiTheme="minorHAnsi" w:hAnsiTheme="minorHAnsi" w:cs="Times New Roman"/>
          <w:sz w:val="24"/>
          <w:szCs w:val="24"/>
        </w:rPr>
        <w:t>.</w:t>
      </w:r>
      <w:r w:rsidR="0049369B" w:rsidRPr="0049369B">
        <w:rPr>
          <w:rFonts w:asciiTheme="minorHAnsi" w:hAnsiTheme="minorHAnsi" w:cs="Times New Roman"/>
          <w:sz w:val="24"/>
          <w:szCs w:val="24"/>
        </w:rPr>
        <w:t xml:space="preserve"> </w:t>
      </w:r>
      <w:r w:rsidR="00384381" w:rsidRPr="0049369B">
        <w:rPr>
          <w:rFonts w:asciiTheme="minorHAnsi" w:hAnsiTheme="minorHAnsi" w:cs="Times New Roman"/>
          <w:sz w:val="24"/>
          <w:szCs w:val="24"/>
        </w:rPr>
        <w:t xml:space="preserve">The </w:t>
      </w:r>
      <w:r w:rsidR="00384381" w:rsidRPr="0049369B">
        <w:rPr>
          <w:rFonts w:asciiTheme="minorHAnsi" w:hAnsiTheme="minorHAnsi" w:cs="Times New Roman"/>
          <w:b/>
          <w:i/>
          <w:sz w:val="24"/>
          <w:szCs w:val="24"/>
        </w:rPr>
        <w:t>Readiness Guide</w:t>
      </w:r>
      <w:r w:rsidR="00384381" w:rsidRPr="0049369B">
        <w:rPr>
          <w:rFonts w:asciiTheme="minorHAnsi" w:hAnsiTheme="minorHAnsi" w:cs="Times New Roman"/>
          <w:sz w:val="24"/>
          <w:szCs w:val="24"/>
        </w:rPr>
        <w:t xml:space="preserve"> incorporates </w:t>
      </w:r>
      <w:r w:rsidR="002B342D" w:rsidRPr="0049369B">
        <w:rPr>
          <w:rFonts w:asciiTheme="minorHAnsi" w:hAnsiTheme="minorHAnsi" w:cs="Times New Roman"/>
          <w:sz w:val="24"/>
          <w:szCs w:val="24"/>
        </w:rPr>
        <w:t>guidance and clarifications</w:t>
      </w:r>
      <w:r w:rsidR="00384381" w:rsidRPr="0049369B">
        <w:rPr>
          <w:rFonts w:asciiTheme="minorHAnsi" w:hAnsiTheme="minorHAnsi" w:cs="Times New Roman"/>
          <w:sz w:val="24"/>
          <w:szCs w:val="24"/>
        </w:rPr>
        <w:t xml:space="preserve"> </w:t>
      </w:r>
      <w:r w:rsidR="00671320" w:rsidRPr="0049369B">
        <w:rPr>
          <w:rFonts w:asciiTheme="minorHAnsi" w:hAnsiTheme="minorHAnsi" w:cs="Times New Roman"/>
          <w:sz w:val="24"/>
          <w:szCs w:val="24"/>
        </w:rPr>
        <w:t xml:space="preserve">based </w:t>
      </w:r>
      <w:r w:rsidR="00671320" w:rsidRPr="0049369B">
        <w:rPr>
          <w:rFonts w:asciiTheme="minorHAnsi" w:hAnsiTheme="minorHAnsi"/>
          <w:sz w:val="24"/>
          <w:szCs w:val="24"/>
        </w:rPr>
        <w:t>on</w:t>
      </w:r>
      <w:r w:rsidR="003D72D8" w:rsidRPr="0049369B">
        <w:rPr>
          <w:rFonts w:asciiTheme="minorHAnsi" w:hAnsiTheme="minorHAnsi"/>
          <w:sz w:val="24"/>
          <w:szCs w:val="24"/>
        </w:rPr>
        <w:t xml:space="preserve"> November 25</w:t>
      </w:r>
      <w:r w:rsidR="003D72D8" w:rsidRPr="0049369B">
        <w:rPr>
          <w:rFonts w:asciiTheme="minorHAnsi" w:hAnsiTheme="minorHAnsi"/>
          <w:sz w:val="24"/>
          <w:szCs w:val="24"/>
          <w:vertAlign w:val="superscript"/>
        </w:rPr>
        <w:t>th</w:t>
      </w:r>
      <w:r w:rsidR="003D72D8" w:rsidRPr="0049369B">
        <w:rPr>
          <w:rFonts w:asciiTheme="minorHAnsi" w:hAnsiTheme="minorHAnsi"/>
          <w:sz w:val="24"/>
          <w:szCs w:val="24"/>
        </w:rPr>
        <w:t>, August 29</w:t>
      </w:r>
      <w:r w:rsidR="003D72D8" w:rsidRPr="0049369B">
        <w:rPr>
          <w:rFonts w:asciiTheme="minorHAnsi" w:hAnsiTheme="minorHAnsi"/>
          <w:sz w:val="24"/>
          <w:szCs w:val="24"/>
          <w:vertAlign w:val="superscript"/>
        </w:rPr>
        <w:t>th</w:t>
      </w:r>
      <w:r w:rsidR="003D72D8" w:rsidRPr="0049369B">
        <w:rPr>
          <w:rFonts w:asciiTheme="minorHAnsi" w:hAnsiTheme="minorHAnsi"/>
          <w:sz w:val="24"/>
          <w:szCs w:val="24"/>
        </w:rPr>
        <w:t>, and February 12</w:t>
      </w:r>
      <w:r w:rsidR="003D72D8" w:rsidRPr="0049369B">
        <w:rPr>
          <w:rFonts w:asciiTheme="minorHAnsi" w:hAnsiTheme="minorHAnsi"/>
          <w:sz w:val="24"/>
          <w:szCs w:val="24"/>
          <w:vertAlign w:val="superscript"/>
        </w:rPr>
        <w:t>th</w:t>
      </w:r>
      <w:r w:rsidR="003D72D8" w:rsidRPr="0049369B">
        <w:rPr>
          <w:rFonts w:asciiTheme="minorHAnsi" w:hAnsiTheme="minorHAnsi"/>
          <w:sz w:val="24"/>
          <w:szCs w:val="24"/>
        </w:rPr>
        <w:t xml:space="preserve"> FAQ</w:t>
      </w:r>
      <w:r w:rsidR="00D2434F" w:rsidRPr="0049369B">
        <w:rPr>
          <w:rFonts w:asciiTheme="minorHAnsi" w:hAnsiTheme="minorHAnsi"/>
          <w:sz w:val="24"/>
          <w:szCs w:val="24"/>
        </w:rPr>
        <w:t>s</w:t>
      </w:r>
      <w:r w:rsidR="003D72D8" w:rsidRPr="0049369B">
        <w:rPr>
          <w:rFonts w:asciiTheme="minorHAnsi" w:hAnsiTheme="minorHAnsi"/>
          <w:sz w:val="24"/>
          <w:szCs w:val="24"/>
        </w:rPr>
        <w:t xml:space="preserve"> rel</w:t>
      </w:r>
      <w:r w:rsidR="00671320" w:rsidRPr="0049369B">
        <w:rPr>
          <w:rFonts w:asciiTheme="minorHAnsi" w:hAnsiTheme="minorHAnsi"/>
          <w:sz w:val="24"/>
          <w:szCs w:val="24"/>
        </w:rPr>
        <w:t xml:space="preserve">eased by the </w:t>
      </w:r>
      <w:hyperlink r:id="rId11" w:history="1">
        <w:r w:rsidR="00671320" w:rsidRPr="0049369B">
          <w:rPr>
            <w:rStyle w:val="Hyperlink"/>
            <w:rFonts w:asciiTheme="minorHAnsi" w:hAnsiTheme="minorHAnsi"/>
            <w:sz w:val="24"/>
            <w:szCs w:val="24"/>
          </w:rPr>
          <w:t xml:space="preserve">Council on Financial Assistance </w:t>
        </w:r>
        <w:r w:rsidR="001420CC" w:rsidRPr="0049369B">
          <w:rPr>
            <w:rStyle w:val="Hyperlink"/>
            <w:rFonts w:asciiTheme="minorHAnsi" w:hAnsiTheme="minorHAnsi"/>
            <w:sz w:val="24"/>
            <w:szCs w:val="24"/>
          </w:rPr>
          <w:t>Reform</w:t>
        </w:r>
        <w:r w:rsidR="00671320" w:rsidRPr="0049369B">
          <w:rPr>
            <w:rStyle w:val="Hyperlink"/>
            <w:rFonts w:asciiTheme="minorHAnsi" w:hAnsiTheme="minorHAnsi"/>
            <w:sz w:val="24"/>
            <w:szCs w:val="24"/>
          </w:rPr>
          <w:t xml:space="preserve"> (COFAR)</w:t>
        </w:r>
      </w:hyperlink>
      <w:r w:rsidR="00D2434F" w:rsidRPr="0049369B">
        <w:rPr>
          <w:rFonts w:asciiTheme="minorHAnsi" w:hAnsiTheme="minorHAnsi"/>
          <w:sz w:val="24"/>
          <w:szCs w:val="24"/>
        </w:rPr>
        <w:t xml:space="preserve"> and available on their website</w:t>
      </w:r>
      <w:r w:rsidR="00671320" w:rsidRPr="0049369B">
        <w:rPr>
          <w:rFonts w:asciiTheme="minorHAnsi" w:hAnsiTheme="minorHAnsi"/>
          <w:sz w:val="24"/>
          <w:szCs w:val="24"/>
        </w:rPr>
        <w:t>.</w:t>
      </w:r>
    </w:p>
    <w:p w14:paraId="441A7FAE" w14:textId="77777777" w:rsidR="0049369B" w:rsidRPr="0049369B" w:rsidRDefault="0049369B" w:rsidP="00004983">
      <w:pPr>
        <w:pStyle w:val="PlainText"/>
        <w:jc w:val="both"/>
        <w:rPr>
          <w:rFonts w:asciiTheme="minorHAnsi" w:hAnsiTheme="minorHAnsi"/>
          <w:sz w:val="24"/>
          <w:szCs w:val="24"/>
        </w:rPr>
      </w:pPr>
    </w:p>
    <w:p w14:paraId="0984A2AA" w14:textId="797C1873" w:rsidR="0049369B" w:rsidRPr="0049369B" w:rsidRDefault="0049369B" w:rsidP="00004983">
      <w:pPr>
        <w:pStyle w:val="PlainText"/>
        <w:jc w:val="both"/>
        <w:rPr>
          <w:rFonts w:asciiTheme="minorHAnsi" w:hAnsiTheme="minorHAnsi" w:cs="Times New Roman"/>
          <w:sz w:val="24"/>
          <w:szCs w:val="24"/>
        </w:rPr>
      </w:pPr>
      <w:r w:rsidRPr="0049369B">
        <w:rPr>
          <w:rFonts w:asciiTheme="minorHAnsi" w:hAnsiTheme="minorHAnsi"/>
          <w:sz w:val="24"/>
          <w:szCs w:val="24"/>
        </w:rPr>
        <w:t>As of th</w:t>
      </w:r>
      <w:r w:rsidR="00FE5EDC">
        <w:rPr>
          <w:rFonts w:asciiTheme="minorHAnsi" w:hAnsiTheme="minorHAnsi"/>
          <w:sz w:val="24"/>
          <w:szCs w:val="24"/>
        </w:rPr>
        <w:t>e</w:t>
      </w:r>
      <w:r w:rsidRPr="0049369B">
        <w:rPr>
          <w:rFonts w:asciiTheme="minorHAnsi" w:hAnsiTheme="minorHAnsi"/>
          <w:sz w:val="24"/>
          <w:szCs w:val="24"/>
        </w:rPr>
        <w:t xml:space="preserve"> writing</w:t>
      </w:r>
      <w:r w:rsidR="00FE5EDC">
        <w:rPr>
          <w:rFonts w:asciiTheme="minorHAnsi" w:hAnsiTheme="minorHAnsi"/>
          <w:sz w:val="24"/>
          <w:szCs w:val="24"/>
        </w:rPr>
        <w:t xml:space="preserve"> of this document</w:t>
      </w:r>
      <w:r w:rsidRPr="0049369B">
        <w:rPr>
          <w:rFonts w:asciiTheme="minorHAnsi" w:hAnsiTheme="minorHAnsi"/>
          <w:sz w:val="24"/>
          <w:szCs w:val="24"/>
        </w:rPr>
        <w:t xml:space="preserve">, </w:t>
      </w:r>
      <w:r w:rsidR="00671320" w:rsidRPr="0049369B">
        <w:rPr>
          <w:rFonts w:asciiTheme="minorHAnsi" w:hAnsiTheme="minorHAnsi" w:cs="Times New Roman"/>
          <w:sz w:val="24"/>
          <w:szCs w:val="24"/>
        </w:rPr>
        <w:t xml:space="preserve">we are uncertain </w:t>
      </w:r>
      <w:r w:rsidR="00B55F83" w:rsidRPr="0049369B">
        <w:rPr>
          <w:rFonts w:asciiTheme="minorHAnsi" w:hAnsiTheme="minorHAnsi" w:cs="Times New Roman"/>
          <w:sz w:val="24"/>
          <w:szCs w:val="24"/>
        </w:rPr>
        <w:t>on</w:t>
      </w:r>
      <w:r w:rsidR="00671320" w:rsidRPr="0049369B">
        <w:rPr>
          <w:rFonts w:asciiTheme="minorHAnsi" w:hAnsiTheme="minorHAnsi" w:cs="Times New Roman"/>
          <w:sz w:val="24"/>
          <w:szCs w:val="24"/>
        </w:rPr>
        <w:t xml:space="preserve"> </w:t>
      </w:r>
      <w:r w:rsidR="002B342D" w:rsidRPr="0049369B">
        <w:rPr>
          <w:rFonts w:asciiTheme="minorHAnsi" w:hAnsiTheme="minorHAnsi" w:cs="Times New Roman"/>
          <w:sz w:val="24"/>
          <w:szCs w:val="24"/>
        </w:rPr>
        <w:t>the status of possible technical co</w:t>
      </w:r>
      <w:r w:rsidR="00FE5EDC">
        <w:rPr>
          <w:rFonts w:asciiTheme="minorHAnsi" w:hAnsiTheme="minorHAnsi" w:cs="Times New Roman"/>
          <w:sz w:val="24"/>
          <w:szCs w:val="24"/>
        </w:rPr>
        <w:t>rrections and other updates to the F</w:t>
      </w:r>
      <w:r w:rsidR="002B342D" w:rsidRPr="0049369B">
        <w:rPr>
          <w:rFonts w:asciiTheme="minorHAnsi" w:hAnsiTheme="minorHAnsi" w:cs="Times New Roman"/>
          <w:sz w:val="24"/>
          <w:szCs w:val="24"/>
        </w:rPr>
        <w:t xml:space="preserve">inal </w:t>
      </w:r>
      <w:r w:rsidR="00FE5EDC">
        <w:rPr>
          <w:rFonts w:asciiTheme="minorHAnsi" w:hAnsiTheme="minorHAnsi" w:cs="Times New Roman"/>
          <w:sz w:val="24"/>
          <w:szCs w:val="24"/>
        </w:rPr>
        <w:t>V</w:t>
      </w:r>
      <w:r w:rsidR="002B342D" w:rsidRPr="0049369B">
        <w:rPr>
          <w:rFonts w:asciiTheme="minorHAnsi" w:hAnsiTheme="minorHAnsi" w:cs="Times New Roman"/>
          <w:sz w:val="24"/>
          <w:szCs w:val="24"/>
        </w:rPr>
        <w:t xml:space="preserve">ersion of the </w:t>
      </w:r>
      <w:r w:rsidR="007E3BE3" w:rsidRPr="0049369B">
        <w:rPr>
          <w:rFonts w:asciiTheme="minorHAnsi" w:hAnsiTheme="minorHAnsi" w:cs="Times New Roman"/>
          <w:sz w:val="24"/>
          <w:szCs w:val="24"/>
        </w:rPr>
        <w:t>Uniform</w:t>
      </w:r>
      <w:r w:rsidR="002B342D" w:rsidRPr="0049369B">
        <w:rPr>
          <w:rFonts w:asciiTheme="minorHAnsi" w:hAnsiTheme="minorHAnsi" w:cs="Times New Roman"/>
          <w:sz w:val="24"/>
          <w:szCs w:val="24"/>
        </w:rPr>
        <w:t xml:space="preserve"> Guidance, including uncertainty as to how each federal agency will im</w:t>
      </w:r>
      <w:r w:rsidR="00645328" w:rsidRPr="0049369B">
        <w:rPr>
          <w:rFonts w:asciiTheme="minorHAnsi" w:hAnsiTheme="minorHAnsi" w:cs="Times New Roman"/>
          <w:sz w:val="24"/>
          <w:szCs w:val="24"/>
        </w:rPr>
        <w:t xml:space="preserve">plement the Uniform </w:t>
      </w:r>
      <w:r w:rsidR="007E3BE3" w:rsidRPr="0049369B">
        <w:rPr>
          <w:rFonts w:asciiTheme="minorHAnsi" w:hAnsiTheme="minorHAnsi" w:cs="Times New Roman"/>
          <w:sz w:val="24"/>
          <w:szCs w:val="24"/>
        </w:rPr>
        <w:t>Guidance</w:t>
      </w:r>
      <w:r w:rsidR="00645328" w:rsidRPr="0049369B">
        <w:rPr>
          <w:rFonts w:asciiTheme="minorHAnsi" w:hAnsiTheme="minorHAnsi" w:cs="Times New Roman"/>
          <w:sz w:val="24"/>
          <w:szCs w:val="24"/>
        </w:rPr>
        <w:t xml:space="preserve">. </w:t>
      </w:r>
      <w:r w:rsidRPr="0049369B">
        <w:rPr>
          <w:rFonts w:asciiTheme="minorHAnsi" w:hAnsiTheme="minorHAnsi" w:cs="Times New Roman"/>
          <w:b/>
          <w:sz w:val="24"/>
          <w:szCs w:val="24"/>
          <w:u w:val="single"/>
        </w:rPr>
        <w:t xml:space="preserve">Consequently, we have developed this as a “Living Document” and </w:t>
      </w:r>
      <w:r>
        <w:rPr>
          <w:rFonts w:asciiTheme="minorHAnsi" w:hAnsiTheme="minorHAnsi" w:cs="Times New Roman"/>
          <w:b/>
          <w:sz w:val="24"/>
          <w:szCs w:val="24"/>
          <w:u w:val="single"/>
        </w:rPr>
        <w:t>have notated this document as</w:t>
      </w:r>
      <w:r w:rsidRPr="0049369B">
        <w:rPr>
          <w:rFonts w:asciiTheme="minorHAnsi" w:hAnsiTheme="minorHAnsi" w:cs="Times New Roman"/>
          <w:b/>
          <w:sz w:val="24"/>
          <w:szCs w:val="24"/>
          <w:u w:val="single"/>
        </w:rPr>
        <w:t xml:space="preserve"> the </w:t>
      </w:r>
      <w:r w:rsidRPr="0049369B">
        <w:rPr>
          <w:rFonts w:asciiTheme="minorHAnsi" w:hAnsiTheme="minorHAnsi"/>
          <w:b/>
          <w:sz w:val="24"/>
          <w:szCs w:val="24"/>
          <w:u w:val="single"/>
        </w:rPr>
        <w:t>DECEMBER 12</w:t>
      </w:r>
      <w:r w:rsidR="003206B8">
        <w:rPr>
          <w:rFonts w:asciiTheme="minorHAnsi" w:hAnsiTheme="minorHAnsi"/>
          <w:b/>
          <w:sz w:val="24"/>
          <w:szCs w:val="24"/>
          <w:u w:val="single"/>
        </w:rPr>
        <w:t xml:space="preserve">, 2014 </w:t>
      </w:r>
      <w:r w:rsidRPr="0049369B">
        <w:rPr>
          <w:rFonts w:asciiTheme="minorHAnsi" w:hAnsiTheme="minorHAnsi"/>
          <w:b/>
          <w:sz w:val="24"/>
          <w:szCs w:val="24"/>
          <w:u w:val="single"/>
        </w:rPr>
        <w:t xml:space="preserve">VERSION of the </w:t>
      </w:r>
      <w:r w:rsidRPr="0049369B">
        <w:rPr>
          <w:rFonts w:asciiTheme="minorHAnsi" w:hAnsiTheme="minorHAnsi" w:cs="Times New Roman"/>
          <w:b/>
          <w:i/>
          <w:sz w:val="24"/>
          <w:szCs w:val="24"/>
          <w:u w:val="single"/>
        </w:rPr>
        <w:t>Readiness Guide</w:t>
      </w:r>
      <w:r w:rsidRPr="0049369B">
        <w:rPr>
          <w:rFonts w:asciiTheme="minorHAnsi" w:hAnsiTheme="minorHAnsi" w:cs="Times New Roman"/>
          <w:b/>
          <w:sz w:val="24"/>
          <w:szCs w:val="24"/>
          <w:u w:val="single"/>
        </w:rPr>
        <w:t>.</w:t>
      </w:r>
      <w:r w:rsidRPr="0049369B">
        <w:rPr>
          <w:rFonts w:asciiTheme="minorHAnsi" w:hAnsiTheme="minorHAnsi" w:cs="Times New Roman"/>
          <w:sz w:val="24"/>
          <w:szCs w:val="24"/>
        </w:rPr>
        <w:t xml:space="preserve"> We will update, accordingly, after the Uniform Guidance is released.</w:t>
      </w:r>
    </w:p>
    <w:p w14:paraId="40610716" w14:textId="264B8194" w:rsidR="0049369B" w:rsidRPr="0049369B" w:rsidRDefault="0049369B" w:rsidP="00004983">
      <w:pPr>
        <w:pStyle w:val="PlainText"/>
        <w:jc w:val="both"/>
        <w:rPr>
          <w:rFonts w:asciiTheme="minorHAnsi" w:hAnsiTheme="minorHAnsi"/>
          <w:sz w:val="24"/>
          <w:szCs w:val="24"/>
        </w:rPr>
      </w:pPr>
      <w:r w:rsidRPr="0049369B">
        <w:rPr>
          <w:rFonts w:asciiTheme="minorHAnsi" w:hAnsiTheme="minorHAnsi"/>
          <w:sz w:val="24"/>
          <w:szCs w:val="24"/>
        </w:rPr>
        <w:t xml:space="preserve"> </w:t>
      </w:r>
    </w:p>
    <w:p w14:paraId="5A44C9F3" w14:textId="7A34E5D0" w:rsidR="007645A0" w:rsidRPr="0049369B" w:rsidRDefault="00373AC1" w:rsidP="00004983">
      <w:pPr>
        <w:pStyle w:val="PlainText"/>
        <w:jc w:val="both"/>
        <w:rPr>
          <w:rFonts w:asciiTheme="minorHAnsi" w:hAnsiTheme="minorHAnsi" w:cs="Times New Roman"/>
          <w:sz w:val="24"/>
          <w:szCs w:val="24"/>
        </w:rPr>
      </w:pPr>
      <w:r w:rsidRPr="0049369B">
        <w:rPr>
          <w:rFonts w:asciiTheme="minorHAnsi" w:hAnsiTheme="minorHAnsi" w:cs="Times New Roman"/>
          <w:sz w:val="24"/>
          <w:szCs w:val="24"/>
        </w:rPr>
        <w:t>The Uniform Guidance is applicable to Institutions of Higher Education (IHEs) and Nonprofit Research Institutions, as well as other non-federal entities including States</w:t>
      </w:r>
      <w:r w:rsidR="00452FB8" w:rsidRPr="0049369B">
        <w:rPr>
          <w:rFonts w:asciiTheme="minorHAnsi" w:hAnsiTheme="minorHAnsi" w:cs="Times New Roman"/>
          <w:sz w:val="24"/>
          <w:szCs w:val="24"/>
        </w:rPr>
        <w:t>,</w:t>
      </w:r>
      <w:r w:rsidRPr="0049369B">
        <w:rPr>
          <w:rFonts w:asciiTheme="minorHAnsi" w:hAnsiTheme="minorHAnsi" w:cs="Times New Roman"/>
          <w:sz w:val="24"/>
          <w:szCs w:val="24"/>
        </w:rPr>
        <w:t xml:space="preserve"> Local and Tribal governments and nonprofit organizations</w:t>
      </w:r>
      <w:r w:rsidR="00452FB8" w:rsidRPr="0049369B">
        <w:rPr>
          <w:rFonts w:asciiTheme="minorHAnsi" w:hAnsiTheme="minorHAnsi" w:cs="Times New Roman"/>
          <w:sz w:val="24"/>
          <w:szCs w:val="24"/>
        </w:rPr>
        <w:t xml:space="preserve">. </w:t>
      </w:r>
      <w:r w:rsidR="00403CEE" w:rsidRPr="0049369B">
        <w:rPr>
          <w:rFonts w:asciiTheme="minorHAnsi" w:hAnsiTheme="minorHAnsi" w:cs="Times New Roman"/>
          <w:sz w:val="24"/>
          <w:szCs w:val="24"/>
        </w:rPr>
        <w:t xml:space="preserve">As specified in the preamble to the Uniform Guidance, the cost principles </w:t>
      </w:r>
      <w:r w:rsidR="004C4335" w:rsidRPr="0049369B">
        <w:rPr>
          <w:rFonts w:asciiTheme="minorHAnsi" w:hAnsiTheme="minorHAnsi" w:cs="Times New Roman"/>
          <w:sz w:val="24"/>
          <w:szCs w:val="24"/>
        </w:rPr>
        <w:t>for Hospitals</w:t>
      </w:r>
      <w:r w:rsidR="00403CEE" w:rsidRPr="0049369B">
        <w:rPr>
          <w:rFonts w:asciiTheme="minorHAnsi" w:hAnsiTheme="minorHAnsi" w:cs="Times New Roman"/>
          <w:sz w:val="24"/>
          <w:szCs w:val="24"/>
        </w:rPr>
        <w:t xml:space="preserve"> </w:t>
      </w:r>
      <w:r w:rsidR="004C4335" w:rsidRPr="0049369B">
        <w:rPr>
          <w:rFonts w:asciiTheme="minorHAnsi" w:hAnsiTheme="minorHAnsi" w:cs="Times New Roman"/>
          <w:sz w:val="24"/>
          <w:szCs w:val="24"/>
        </w:rPr>
        <w:t xml:space="preserve">are not changed </w:t>
      </w:r>
      <w:r w:rsidR="00403CEE" w:rsidRPr="0049369B">
        <w:rPr>
          <w:rFonts w:asciiTheme="minorHAnsi" w:hAnsiTheme="minorHAnsi" w:cs="Times New Roman"/>
          <w:sz w:val="24"/>
          <w:szCs w:val="24"/>
        </w:rPr>
        <w:t>but</w:t>
      </w:r>
      <w:r w:rsidR="00EC0ADD" w:rsidRPr="0049369B">
        <w:rPr>
          <w:rFonts w:asciiTheme="minorHAnsi" w:hAnsiTheme="minorHAnsi" w:cs="Times New Roman"/>
          <w:sz w:val="24"/>
          <w:szCs w:val="24"/>
        </w:rPr>
        <w:t xml:space="preserve"> </w:t>
      </w:r>
      <w:r w:rsidR="00403CEE" w:rsidRPr="0049369B">
        <w:rPr>
          <w:rFonts w:asciiTheme="minorHAnsi" w:hAnsiTheme="minorHAnsi" w:cs="Times New Roman"/>
          <w:sz w:val="24"/>
          <w:szCs w:val="24"/>
        </w:rPr>
        <w:t>may be addressed in the future.</w:t>
      </w:r>
      <w:r w:rsidR="00EC0ADD" w:rsidRPr="0049369B">
        <w:rPr>
          <w:rFonts w:asciiTheme="minorHAnsi" w:hAnsiTheme="minorHAnsi" w:cs="Times New Roman"/>
          <w:sz w:val="24"/>
          <w:szCs w:val="24"/>
        </w:rPr>
        <w:t xml:space="preserve"> </w:t>
      </w:r>
      <w:r w:rsidR="00452FB8" w:rsidRPr="0049369B">
        <w:rPr>
          <w:rFonts w:asciiTheme="minorHAnsi" w:hAnsiTheme="minorHAnsi" w:cs="Times New Roman"/>
          <w:sz w:val="24"/>
          <w:szCs w:val="24"/>
        </w:rPr>
        <w:t>The</w:t>
      </w:r>
      <w:r w:rsidRPr="0049369B">
        <w:rPr>
          <w:rFonts w:asciiTheme="minorHAnsi" w:hAnsiTheme="minorHAnsi" w:cs="Times New Roman"/>
          <w:sz w:val="24"/>
          <w:szCs w:val="24"/>
        </w:rPr>
        <w:t xml:space="preserve"> </w:t>
      </w:r>
      <w:r w:rsidR="00645328" w:rsidRPr="0049369B">
        <w:rPr>
          <w:rFonts w:asciiTheme="minorHAnsi" w:hAnsiTheme="minorHAnsi" w:cs="Times New Roman"/>
          <w:b/>
          <w:i/>
          <w:sz w:val="24"/>
          <w:szCs w:val="24"/>
        </w:rPr>
        <w:t>Readiness</w:t>
      </w:r>
      <w:r w:rsidRPr="0049369B">
        <w:rPr>
          <w:rFonts w:asciiTheme="minorHAnsi" w:hAnsiTheme="minorHAnsi" w:cs="Times New Roman"/>
          <w:b/>
          <w:i/>
          <w:sz w:val="24"/>
          <w:szCs w:val="24"/>
        </w:rPr>
        <w:t xml:space="preserve"> Guide</w:t>
      </w:r>
      <w:r w:rsidRPr="0049369B">
        <w:rPr>
          <w:rFonts w:asciiTheme="minorHAnsi" w:hAnsiTheme="minorHAnsi" w:cs="Times New Roman"/>
          <w:sz w:val="24"/>
          <w:szCs w:val="24"/>
        </w:rPr>
        <w:t xml:space="preserve"> is targeted to IHEs and Nonprofit Research Institutions</w:t>
      </w:r>
      <w:r w:rsidR="00AE3B14" w:rsidRPr="0049369B">
        <w:rPr>
          <w:rFonts w:asciiTheme="minorHAnsi" w:hAnsiTheme="minorHAnsi" w:cs="Times New Roman"/>
          <w:sz w:val="24"/>
          <w:szCs w:val="24"/>
        </w:rPr>
        <w:t xml:space="preserve"> that comprise the COGR Membership</w:t>
      </w:r>
      <w:r w:rsidRPr="0049369B">
        <w:rPr>
          <w:rFonts w:asciiTheme="minorHAnsi" w:hAnsiTheme="minorHAnsi" w:cs="Times New Roman"/>
          <w:sz w:val="24"/>
          <w:szCs w:val="24"/>
        </w:rPr>
        <w:t xml:space="preserve">. </w:t>
      </w:r>
    </w:p>
    <w:p w14:paraId="1C0450C3" w14:textId="77777777" w:rsidR="001D1460" w:rsidRPr="0049369B" w:rsidRDefault="001D1460" w:rsidP="00004983">
      <w:pPr>
        <w:pStyle w:val="PlainText"/>
        <w:jc w:val="both"/>
        <w:rPr>
          <w:rFonts w:asciiTheme="minorHAnsi" w:hAnsiTheme="minorHAnsi" w:cs="Times New Roman"/>
          <w:sz w:val="24"/>
          <w:szCs w:val="24"/>
        </w:rPr>
      </w:pPr>
    </w:p>
    <w:p w14:paraId="6C9B0860" w14:textId="0D30AAA8" w:rsidR="00645328" w:rsidRPr="0049369B" w:rsidRDefault="00645328" w:rsidP="00004983">
      <w:pPr>
        <w:pStyle w:val="PlainText"/>
        <w:jc w:val="both"/>
        <w:rPr>
          <w:rFonts w:asciiTheme="minorHAnsi" w:hAnsiTheme="minorHAnsi" w:cs="Times New Roman"/>
          <w:sz w:val="24"/>
          <w:szCs w:val="24"/>
        </w:rPr>
      </w:pPr>
      <w:r w:rsidRPr="0049369B">
        <w:rPr>
          <w:rFonts w:asciiTheme="minorHAnsi" w:hAnsiTheme="minorHAnsi" w:cs="Times New Roman"/>
          <w:sz w:val="24"/>
          <w:szCs w:val="24"/>
        </w:rPr>
        <w:t xml:space="preserve">The </w:t>
      </w:r>
      <w:r w:rsidRPr="0049369B">
        <w:rPr>
          <w:rFonts w:asciiTheme="minorHAnsi" w:hAnsiTheme="minorHAnsi" w:cs="Times New Roman"/>
          <w:b/>
          <w:i/>
          <w:sz w:val="24"/>
          <w:szCs w:val="24"/>
        </w:rPr>
        <w:t>Readiness Guide</w:t>
      </w:r>
      <w:r w:rsidRPr="0049369B">
        <w:rPr>
          <w:rFonts w:asciiTheme="minorHAnsi" w:hAnsiTheme="minorHAnsi" w:cs="Times New Roman"/>
          <w:sz w:val="24"/>
          <w:szCs w:val="24"/>
        </w:rPr>
        <w:t xml:space="preserve"> is organized into the sections described below.  Each section includes:  </w:t>
      </w:r>
      <w:r w:rsidR="009B1D9C" w:rsidRPr="0049369B">
        <w:rPr>
          <w:rFonts w:asciiTheme="minorHAnsi" w:hAnsiTheme="minorHAnsi" w:cs="Times New Roman"/>
          <w:b/>
          <w:sz w:val="24"/>
          <w:szCs w:val="24"/>
          <w:u w:val="single"/>
        </w:rPr>
        <w:t>Item</w:t>
      </w:r>
      <w:r w:rsidRPr="0049369B">
        <w:rPr>
          <w:rFonts w:asciiTheme="minorHAnsi" w:hAnsiTheme="minorHAnsi" w:cs="Times New Roman"/>
          <w:sz w:val="24"/>
          <w:szCs w:val="24"/>
        </w:rPr>
        <w:t xml:space="preserve"> </w:t>
      </w:r>
      <w:r w:rsidR="00927939" w:rsidRPr="0049369B">
        <w:rPr>
          <w:rFonts w:asciiTheme="minorHAnsi" w:hAnsiTheme="minorHAnsi" w:cs="Times New Roman"/>
          <w:sz w:val="24"/>
          <w:szCs w:val="24"/>
        </w:rPr>
        <w:t xml:space="preserve">(with reference to the </w:t>
      </w:r>
      <w:r w:rsidRPr="0049369B">
        <w:rPr>
          <w:rFonts w:asciiTheme="minorHAnsi" w:hAnsiTheme="minorHAnsi" w:cs="Times New Roman"/>
          <w:sz w:val="24"/>
          <w:szCs w:val="24"/>
        </w:rPr>
        <w:t>applicable section</w:t>
      </w:r>
      <w:r w:rsidR="00927939" w:rsidRPr="0049369B">
        <w:rPr>
          <w:rFonts w:asciiTheme="minorHAnsi" w:hAnsiTheme="minorHAnsi" w:cs="Times New Roman"/>
          <w:sz w:val="24"/>
          <w:szCs w:val="24"/>
        </w:rPr>
        <w:t xml:space="preserve"> of the Uniform Guidance in parentheses)</w:t>
      </w:r>
      <w:r w:rsidR="007E7228" w:rsidRPr="0049369B">
        <w:rPr>
          <w:rFonts w:asciiTheme="minorHAnsi" w:hAnsiTheme="minorHAnsi" w:cs="Times New Roman"/>
          <w:sz w:val="24"/>
          <w:szCs w:val="24"/>
        </w:rPr>
        <w:t xml:space="preserve"> and</w:t>
      </w:r>
      <w:r w:rsidRPr="0049369B">
        <w:rPr>
          <w:rFonts w:asciiTheme="minorHAnsi" w:hAnsiTheme="minorHAnsi" w:cs="Times New Roman"/>
          <w:sz w:val="24"/>
          <w:szCs w:val="24"/>
        </w:rPr>
        <w:t xml:space="preserve"> </w:t>
      </w:r>
      <w:r w:rsidR="007E7228" w:rsidRPr="0049369B">
        <w:rPr>
          <w:rFonts w:asciiTheme="minorHAnsi" w:hAnsiTheme="minorHAnsi" w:cs="Times New Roman"/>
          <w:b/>
          <w:sz w:val="24"/>
          <w:szCs w:val="24"/>
          <w:u w:val="single"/>
        </w:rPr>
        <w:t xml:space="preserve">Summary </w:t>
      </w:r>
      <w:r w:rsidR="00927939" w:rsidRPr="0049369B">
        <w:rPr>
          <w:rFonts w:asciiTheme="minorHAnsi" w:hAnsiTheme="minorHAnsi" w:cs="Times New Roman"/>
          <w:b/>
          <w:sz w:val="24"/>
          <w:szCs w:val="24"/>
          <w:u w:val="single"/>
        </w:rPr>
        <w:t xml:space="preserve">and </w:t>
      </w:r>
      <w:r w:rsidR="00FE5EDC">
        <w:rPr>
          <w:rFonts w:asciiTheme="minorHAnsi" w:hAnsiTheme="minorHAnsi" w:cs="Times New Roman"/>
          <w:b/>
          <w:sz w:val="24"/>
          <w:szCs w:val="24"/>
          <w:u w:val="single"/>
        </w:rPr>
        <w:t xml:space="preserve">Points to </w:t>
      </w:r>
      <w:r w:rsidRPr="0049369B">
        <w:rPr>
          <w:rFonts w:asciiTheme="minorHAnsi" w:hAnsiTheme="minorHAnsi" w:cs="Times New Roman"/>
          <w:b/>
          <w:sz w:val="24"/>
          <w:szCs w:val="24"/>
          <w:u w:val="single"/>
        </w:rPr>
        <w:t>Consider</w:t>
      </w:r>
      <w:r w:rsidRPr="0049369B">
        <w:rPr>
          <w:rFonts w:asciiTheme="minorHAnsi" w:hAnsiTheme="minorHAnsi" w:cs="Times New Roman"/>
          <w:sz w:val="24"/>
          <w:szCs w:val="24"/>
        </w:rPr>
        <w:t xml:space="preserve"> </w:t>
      </w:r>
      <w:r w:rsidR="00927939" w:rsidRPr="0049369B">
        <w:rPr>
          <w:rFonts w:asciiTheme="minorHAnsi" w:hAnsiTheme="minorHAnsi" w:cs="Times New Roman"/>
          <w:sz w:val="24"/>
          <w:szCs w:val="24"/>
        </w:rPr>
        <w:t>(</w:t>
      </w:r>
      <w:r w:rsidR="009B1D9C" w:rsidRPr="0049369B">
        <w:rPr>
          <w:rFonts w:asciiTheme="minorHAnsi" w:hAnsiTheme="minorHAnsi" w:cs="Times New Roman"/>
          <w:sz w:val="24"/>
          <w:szCs w:val="24"/>
        </w:rPr>
        <w:t xml:space="preserve">quick summary and </w:t>
      </w:r>
      <w:r w:rsidR="00937D34">
        <w:rPr>
          <w:rFonts w:asciiTheme="minorHAnsi" w:hAnsiTheme="minorHAnsi" w:cs="Times New Roman"/>
          <w:sz w:val="24"/>
          <w:szCs w:val="24"/>
        </w:rPr>
        <w:t>suggested</w:t>
      </w:r>
      <w:r w:rsidR="0031190B" w:rsidRPr="0049369B">
        <w:rPr>
          <w:rFonts w:asciiTheme="minorHAnsi" w:hAnsiTheme="minorHAnsi" w:cs="Times New Roman"/>
          <w:sz w:val="24"/>
          <w:szCs w:val="24"/>
        </w:rPr>
        <w:t xml:space="preserve"> </w:t>
      </w:r>
      <w:r w:rsidR="00B55F83" w:rsidRPr="0049369B">
        <w:rPr>
          <w:rFonts w:asciiTheme="minorHAnsi" w:hAnsiTheme="minorHAnsi" w:cs="Times New Roman"/>
          <w:sz w:val="24"/>
          <w:szCs w:val="24"/>
        </w:rPr>
        <w:t xml:space="preserve">institutional </w:t>
      </w:r>
      <w:r w:rsidR="007E7228" w:rsidRPr="0049369B">
        <w:rPr>
          <w:rFonts w:asciiTheme="minorHAnsi" w:hAnsiTheme="minorHAnsi" w:cs="Times New Roman"/>
          <w:sz w:val="24"/>
          <w:szCs w:val="24"/>
        </w:rPr>
        <w:t>considerations</w:t>
      </w:r>
      <w:r w:rsidR="009B1D9C" w:rsidRPr="0049369B">
        <w:rPr>
          <w:rFonts w:asciiTheme="minorHAnsi" w:hAnsiTheme="minorHAnsi" w:cs="Times New Roman"/>
          <w:sz w:val="24"/>
          <w:szCs w:val="24"/>
        </w:rPr>
        <w:t xml:space="preserve"> specific to the applicable se</w:t>
      </w:r>
      <w:r w:rsidR="007E7228" w:rsidRPr="0049369B">
        <w:rPr>
          <w:rFonts w:asciiTheme="minorHAnsi" w:hAnsiTheme="minorHAnsi" w:cs="Times New Roman"/>
          <w:sz w:val="24"/>
          <w:szCs w:val="24"/>
        </w:rPr>
        <w:t>ction of the Uniform Guidance).</w:t>
      </w:r>
    </w:p>
    <w:p w14:paraId="129D4C47" w14:textId="77777777" w:rsidR="00645328" w:rsidRPr="0049369B" w:rsidRDefault="00645328" w:rsidP="00004983">
      <w:pPr>
        <w:pStyle w:val="PlainText"/>
        <w:jc w:val="both"/>
        <w:rPr>
          <w:rFonts w:asciiTheme="minorHAnsi" w:hAnsiTheme="minorHAnsi" w:cs="Times New Roman"/>
          <w:sz w:val="24"/>
          <w:szCs w:val="24"/>
        </w:rPr>
      </w:pPr>
    </w:p>
    <w:p w14:paraId="37840DF2" w14:textId="77777777" w:rsidR="00645328" w:rsidRPr="0049369B" w:rsidRDefault="00645328" w:rsidP="004C28F6">
      <w:pPr>
        <w:pStyle w:val="PlainText"/>
        <w:numPr>
          <w:ilvl w:val="0"/>
          <w:numId w:val="1"/>
        </w:numPr>
        <w:jc w:val="both"/>
        <w:rPr>
          <w:rFonts w:asciiTheme="minorHAnsi" w:hAnsiTheme="minorHAnsi" w:cs="Times New Roman"/>
          <w:sz w:val="24"/>
          <w:szCs w:val="24"/>
        </w:rPr>
      </w:pPr>
      <w:r w:rsidRPr="0049369B">
        <w:rPr>
          <w:rFonts w:asciiTheme="minorHAnsi" w:hAnsiTheme="minorHAnsi" w:cs="Times New Roman"/>
          <w:sz w:val="24"/>
          <w:szCs w:val="24"/>
        </w:rPr>
        <w:t>GENERAL</w:t>
      </w:r>
    </w:p>
    <w:p w14:paraId="6017C1B2" w14:textId="77777777" w:rsidR="00645328" w:rsidRPr="0049369B" w:rsidRDefault="007E3BE3" w:rsidP="004C28F6">
      <w:pPr>
        <w:pStyle w:val="PlainText"/>
        <w:numPr>
          <w:ilvl w:val="0"/>
          <w:numId w:val="1"/>
        </w:numPr>
        <w:jc w:val="both"/>
        <w:rPr>
          <w:rFonts w:asciiTheme="minorHAnsi" w:hAnsiTheme="minorHAnsi" w:cs="Times New Roman"/>
          <w:sz w:val="24"/>
          <w:szCs w:val="24"/>
        </w:rPr>
      </w:pPr>
      <w:r w:rsidRPr="0049369B">
        <w:rPr>
          <w:rFonts w:asciiTheme="minorHAnsi" w:hAnsiTheme="minorHAnsi" w:cs="Times New Roman"/>
          <w:sz w:val="24"/>
          <w:szCs w:val="24"/>
        </w:rPr>
        <w:t>FUNDING AGENCY AND AWARD REQUIREMENTS</w:t>
      </w:r>
    </w:p>
    <w:p w14:paraId="18DD9D62" w14:textId="77777777" w:rsidR="007E7228" w:rsidRPr="0049369B" w:rsidRDefault="00927939" w:rsidP="004C28F6">
      <w:pPr>
        <w:pStyle w:val="PlainText"/>
        <w:numPr>
          <w:ilvl w:val="0"/>
          <w:numId w:val="1"/>
        </w:numPr>
        <w:jc w:val="both"/>
        <w:rPr>
          <w:rFonts w:asciiTheme="minorHAnsi" w:hAnsiTheme="minorHAnsi" w:cs="Times New Roman"/>
          <w:sz w:val="24"/>
          <w:szCs w:val="24"/>
        </w:rPr>
      </w:pPr>
      <w:r w:rsidRPr="0049369B">
        <w:rPr>
          <w:rFonts w:asciiTheme="minorHAnsi" w:hAnsiTheme="minorHAnsi" w:cs="Times New Roman"/>
          <w:sz w:val="24"/>
          <w:szCs w:val="24"/>
        </w:rPr>
        <w:t>AWARD ADMINISTRATION</w:t>
      </w:r>
    </w:p>
    <w:p w14:paraId="0A6EC021" w14:textId="054B5351" w:rsidR="00927939" w:rsidRPr="0049369B" w:rsidRDefault="00A36C29" w:rsidP="004C28F6">
      <w:pPr>
        <w:pStyle w:val="PlainText"/>
        <w:numPr>
          <w:ilvl w:val="0"/>
          <w:numId w:val="1"/>
        </w:numPr>
        <w:jc w:val="both"/>
        <w:rPr>
          <w:rFonts w:asciiTheme="minorHAnsi" w:hAnsiTheme="minorHAnsi" w:cs="Times New Roman"/>
          <w:sz w:val="24"/>
          <w:szCs w:val="24"/>
        </w:rPr>
      </w:pPr>
      <w:r w:rsidRPr="0049369B">
        <w:rPr>
          <w:rFonts w:asciiTheme="minorHAnsi" w:hAnsiTheme="minorHAnsi" w:cs="Times New Roman"/>
          <w:sz w:val="24"/>
          <w:szCs w:val="24"/>
        </w:rPr>
        <w:t xml:space="preserve">SUBAWARDS AND </w:t>
      </w:r>
      <w:r w:rsidR="007E7228" w:rsidRPr="0049369B">
        <w:rPr>
          <w:rFonts w:asciiTheme="minorHAnsi" w:hAnsiTheme="minorHAnsi" w:cs="Times New Roman"/>
          <w:sz w:val="24"/>
          <w:szCs w:val="24"/>
        </w:rPr>
        <w:t>SUBRECIPIENT MONITORING</w:t>
      </w:r>
    </w:p>
    <w:p w14:paraId="55CD6C22" w14:textId="3384FF90" w:rsidR="007E3BE3" w:rsidRPr="0049369B" w:rsidRDefault="0032160A" w:rsidP="004C28F6">
      <w:pPr>
        <w:pStyle w:val="PlainText"/>
        <w:numPr>
          <w:ilvl w:val="0"/>
          <w:numId w:val="1"/>
        </w:numPr>
        <w:jc w:val="both"/>
        <w:rPr>
          <w:rFonts w:asciiTheme="minorHAnsi" w:hAnsiTheme="minorHAnsi" w:cs="Times New Roman"/>
          <w:sz w:val="24"/>
          <w:szCs w:val="24"/>
        </w:rPr>
      </w:pPr>
      <w:r w:rsidRPr="0049369B">
        <w:rPr>
          <w:rFonts w:asciiTheme="minorHAnsi" w:hAnsiTheme="minorHAnsi" w:cs="Times New Roman"/>
          <w:sz w:val="24"/>
          <w:szCs w:val="24"/>
        </w:rPr>
        <w:t>PROPOSING AND CHARGING COST ITEMS</w:t>
      </w:r>
      <w:r w:rsidR="00A04317" w:rsidRPr="0049369B">
        <w:rPr>
          <w:rFonts w:asciiTheme="minorHAnsi" w:hAnsiTheme="minorHAnsi" w:cs="Times New Roman"/>
          <w:sz w:val="24"/>
          <w:szCs w:val="24"/>
        </w:rPr>
        <w:t xml:space="preserve"> (includes initial comments on “effort reporting”)</w:t>
      </w:r>
    </w:p>
    <w:p w14:paraId="6E5DE68D" w14:textId="77777777" w:rsidR="007D1DEE" w:rsidRPr="0049369B" w:rsidRDefault="007D1DEE" w:rsidP="004C28F6">
      <w:pPr>
        <w:pStyle w:val="PlainText"/>
        <w:numPr>
          <w:ilvl w:val="0"/>
          <w:numId w:val="1"/>
        </w:numPr>
        <w:jc w:val="both"/>
        <w:rPr>
          <w:rFonts w:asciiTheme="minorHAnsi" w:hAnsiTheme="minorHAnsi" w:cs="Times New Roman"/>
          <w:sz w:val="24"/>
          <w:szCs w:val="24"/>
        </w:rPr>
      </w:pPr>
      <w:r w:rsidRPr="0049369B">
        <w:rPr>
          <w:rFonts w:asciiTheme="minorHAnsi" w:hAnsiTheme="minorHAnsi" w:cs="Times New Roman"/>
          <w:sz w:val="24"/>
          <w:szCs w:val="24"/>
        </w:rPr>
        <w:t>F&amp;A RATE PROPOSALS</w:t>
      </w:r>
    </w:p>
    <w:p w14:paraId="551210F8" w14:textId="77777777" w:rsidR="007E3BE3" w:rsidRDefault="007E3BE3" w:rsidP="001D1460">
      <w:pPr>
        <w:pStyle w:val="PlainText"/>
        <w:jc w:val="both"/>
        <w:rPr>
          <w:rFonts w:asciiTheme="minorHAnsi" w:hAnsiTheme="minorHAnsi" w:cs="Times New Roman"/>
          <w:sz w:val="24"/>
          <w:szCs w:val="24"/>
        </w:rPr>
      </w:pPr>
    </w:p>
    <w:p w14:paraId="3121E5B1" w14:textId="447F071B" w:rsidR="006923B0" w:rsidRDefault="0049369B" w:rsidP="00372397">
      <w:pPr>
        <w:pStyle w:val="PlainText"/>
        <w:jc w:val="both"/>
        <w:rPr>
          <w:rFonts w:asciiTheme="minorHAnsi" w:hAnsiTheme="minorHAnsi"/>
          <w:b/>
          <w:sz w:val="22"/>
          <w:szCs w:val="22"/>
        </w:rPr>
      </w:pPr>
      <w:r>
        <w:rPr>
          <w:rFonts w:asciiTheme="minorHAnsi" w:hAnsiTheme="minorHAnsi" w:cs="Times New Roman"/>
          <w:sz w:val="24"/>
          <w:szCs w:val="24"/>
        </w:rPr>
        <w:t xml:space="preserve">Contact </w:t>
      </w:r>
      <w:r w:rsidR="00372397" w:rsidRPr="0049369B">
        <w:rPr>
          <w:rFonts w:asciiTheme="minorHAnsi" w:hAnsiTheme="minorHAnsi" w:cs="Times New Roman"/>
          <w:sz w:val="24"/>
          <w:szCs w:val="24"/>
        </w:rPr>
        <w:t xml:space="preserve">COGR </w:t>
      </w:r>
      <w:r>
        <w:rPr>
          <w:rFonts w:asciiTheme="minorHAnsi" w:hAnsiTheme="minorHAnsi" w:cs="Times New Roman"/>
          <w:sz w:val="24"/>
          <w:szCs w:val="24"/>
        </w:rPr>
        <w:t xml:space="preserve">staff if you have questions and we will </w:t>
      </w:r>
      <w:r w:rsidR="00CF224A" w:rsidRPr="0049369B">
        <w:rPr>
          <w:rFonts w:asciiTheme="minorHAnsi" w:hAnsiTheme="minorHAnsi" w:cs="Times New Roman"/>
          <w:sz w:val="24"/>
          <w:szCs w:val="24"/>
        </w:rPr>
        <w:t>keep the COGR m</w:t>
      </w:r>
      <w:r w:rsidR="00AE3B14" w:rsidRPr="0049369B">
        <w:rPr>
          <w:rFonts w:asciiTheme="minorHAnsi" w:hAnsiTheme="minorHAnsi" w:cs="Times New Roman"/>
          <w:sz w:val="24"/>
          <w:szCs w:val="24"/>
        </w:rPr>
        <w:t xml:space="preserve">embership </w:t>
      </w:r>
      <w:r>
        <w:rPr>
          <w:rFonts w:asciiTheme="minorHAnsi" w:hAnsiTheme="minorHAnsi" w:cs="Times New Roman"/>
          <w:sz w:val="24"/>
          <w:szCs w:val="24"/>
        </w:rPr>
        <w:t>updated</w:t>
      </w:r>
      <w:r w:rsidR="00AE3B14" w:rsidRPr="0049369B">
        <w:rPr>
          <w:rFonts w:asciiTheme="minorHAnsi" w:hAnsiTheme="minorHAnsi" w:cs="Times New Roman"/>
          <w:sz w:val="24"/>
          <w:szCs w:val="24"/>
        </w:rPr>
        <w:t xml:space="preserve"> on all important developments</w:t>
      </w:r>
      <w:r w:rsidR="00073352" w:rsidRPr="0049369B">
        <w:rPr>
          <w:rFonts w:asciiTheme="minorHAnsi" w:hAnsiTheme="minorHAnsi" w:cs="Times New Roman"/>
          <w:sz w:val="24"/>
          <w:szCs w:val="24"/>
        </w:rPr>
        <w:t>.</w:t>
      </w:r>
      <w:r w:rsidR="006923B0">
        <w:rPr>
          <w:rFonts w:asciiTheme="minorHAnsi" w:hAnsiTheme="minorHAnsi"/>
          <w:sz w:val="22"/>
          <w:szCs w:val="22"/>
        </w:rPr>
        <w:br w:type="page"/>
      </w:r>
    </w:p>
    <w:tbl>
      <w:tblPr>
        <w:tblStyle w:val="TableGrid"/>
        <w:tblW w:w="14130" w:type="dxa"/>
        <w:tblInd w:w="108" w:type="dxa"/>
        <w:tblLook w:val="04A0" w:firstRow="1" w:lastRow="0" w:firstColumn="1" w:lastColumn="0" w:noHBand="0" w:noVBand="1"/>
      </w:tblPr>
      <w:tblGrid>
        <w:gridCol w:w="14130"/>
      </w:tblGrid>
      <w:tr w:rsidR="00B5307A" w:rsidRPr="00B5307A" w14:paraId="5984A003" w14:textId="77777777" w:rsidTr="00690A80">
        <w:trPr>
          <w:trHeight w:val="288"/>
        </w:trPr>
        <w:tc>
          <w:tcPr>
            <w:tcW w:w="14130" w:type="dxa"/>
            <w:shd w:val="clear" w:color="auto" w:fill="EEECE1" w:themeFill="background2"/>
          </w:tcPr>
          <w:p w14:paraId="7C758AD8" w14:textId="77777777" w:rsidR="004F1444" w:rsidRPr="003B390D" w:rsidRDefault="004F1444" w:rsidP="00F16946">
            <w:pPr>
              <w:pStyle w:val="NoSpacing"/>
              <w:jc w:val="center"/>
              <w:rPr>
                <w:b/>
                <w:i/>
                <w:sz w:val="12"/>
                <w:szCs w:val="12"/>
              </w:rPr>
            </w:pPr>
          </w:p>
          <w:p w14:paraId="445C6E9D" w14:textId="77777777" w:rsidR="00B5307A" w:rsidRPr="00F16946" w:rsidRDefault="00645328" w:rsidP="00645328">
            <w:pPr>
              <w:pStyle w:val="NoSpacing"/>
              <w:jc w:val="center"/>
              <w:rPr>
                <w:b/>
                <w:i/>
                <w:sz w:val="24"/>
                <w:szCs w:val="24"/>
              </w:rPr>
            </w:pPr>
            <w:r>
              <w:rPr>
                <w:b/>
                <w:i/>
                <w:sz w:val="24"/>
                <w:szCs w:val="24"/>
              </w:rPr>
              <w:t xml:space="preserve">A. </w:t>
            </w:r>
            <w:r w:rsidR="00A13145">
              <w:rPr>
                <w:b/>
                <w:i/>
                <w:sz w:val="24"/>
                <w:szCs w:val="24"/>
              </w:rPr>
              <w:t>GENERAL</w:t>
            </w:r>
          </w:p>
          <w:p w14:paraId="290C577A" w14:textId="77777777" w:rsidR="00F16946" w:rsidRPr="00F16946" w:rsidRDefault="00F16946" w:rsidP="0096588D">
            <w:pPr>
              <w:pStyle w:val="NoSpacing"/>
              <w:jc w:val="both"/>
              <w:rPr>
                <w:b/>
                <w:i/>
                <w:sz w:val="8"/>
                <w:szCs w:val="8"/>
              </w:rPr>
            </w:pPr>
          </w:p>
        </w:tc>
      </w:tr>
    </w:tbl>
    <w:p w14:paraId="4FFB71E0" w14:textId="77777777" w:rsidR="001F32F4" w:rsidRDefault="001F32F4" w:rsidP="00CC4B63">
      <w:pPr>
        <w:pStyle w:val="PlainText"/>
        <w:jc w:val="both"/>
        <w:rPr>
          <w:rFonts w:asciiTheme="minorHAnsi" w:hAnsiTheme="minorHAnsi" w:cs="Times New Roman"/>
          <w:sz w:val="22"/>
          <w:szCs w:val="22"/>
        </w:rPr>
      </w:pPr>
    </w:p>
    <w:tbl>
      <w:tblPr>
        <w:tblStyle w:val="TableGrid"/>
        <w:tblW w:w="14670" w:type="dxa"/>
        <w:tblInd w:w="-162" w:type="dxa"/>
        <w:tblLayout w:type="fixed"/>
        <w:tblLook w:val="04A0" w:firstRow="1" w:lastRow="0" w:firstColumn="1" w:lastColumn="0" w:noHBand="0" w:noVBand="1"/>
      </w:tblPr>
      <w:tblGrid>
        <w:gridCol w:w="518"/>
        <w:gridCol w:w="1872"/>
        <w:gridCol w:w="12280"/>
      </w:tblGrid>
      <w:tr w:rsidR="007E7228" w:rsidRPr="00A116C4" w14:paraId="1D094C92" w14:textId="77777777" w:rsidTr="000D538B">
        <w:trPr>
          <w:trHeight w:val="432"/>
        </w:trPr>
        <w:tc>
          <w:tcPr>
            <w:tcW w:w="518" w:type="dxa"/>
          </w:tcPr>
          <w:p w14:paraId="7C4C6F98" w14:textId="77777777" w:rsidR="007E7228" w:rsidRDefault="007E7228" w:rsidP="00927939">
            <w:pPr>
              <w:pStyle w:val="PlainText"/>
              <w:jc w:val="center"/>
              <w:rPr>
                <w:rFonts w:asciiTheme="minorHAnsi" w:hAnsiTheme="minorHAnsi" w:cs="Times New Roman"/>
                <w:b/>
                <w:sz w:val="22"/>
                <w:szCs w:val="22"/>
              </w:rPr>
            </w:pPr>
          </w:p>
          <w:p w14:paraId="1B621687" w14:textId="77777777" w:rsidR="007E7228" w:rsidRPr="00A116C4" w:rsidRDefault="007E7228" w:rsidP="00927939">
            <w:pPr>
              <w:pStyle w:val="PlainText"/>
              <w:jc w:val="center"/>
              <w:rPr>
                <w:rFonts w:asciiTheme="minorHAnsi" w:hAnsiTheme="minorHAnsi" w:cs="Times New Roman"/>
                <w:b/>
                <w:sz w:val="22"/>
                <w:szCs w:val="22"/>
              </w:rPr>
            </w:pPr>
            <w:r>
              <w:rPr>
                <w:rFonts w:asciiTheme="minorHAnsi" w:hAnsiTheme="minorHAnsi" w:cs="Times New Roman"/>
                <w:b/>
                <w:sz w:val="22"/>
                <w:szCs w:val="22"/>
              </w:rPr>
              <w:t>#</w:t>
            </w:r>
          </w:p>
        </w:tc>
        <w:tc>
          <w:tcPr>
            <w:tcW w:w="1872" w:type="dxa"/>
          </w:tcPr>
          <w:p w14:paraId="1D06F9B5" w14:textId="77777777" w:rsidR="007E7228" w:rsidRDefault="007E7228" w:rsidP="00927939">
            <w:pPr>
              <w:pStyle w:val="PlainText"/>
              <w:jc w:val="center"/>
              <w:rPr>
                <w:rFonts w:asciiTheme="minorHAnsi" w:hAnsiTheme="minorHAnsi" w:cs="Times New Roman"/>
                <w:b/>
                <w:sz w:val="22"/>
                <w:szCs w:val="22"/>
              </w:rPr>
            </w:pPr>
          </w:p>
          <w:p w14:paraId="2FA6653A" w14:textId="77777777" w:rsidR="007E7228" w:rsidRPr="00A116C4" w:rsidRDefault="007E7228" w:rsidP="00927939">
            <w:pPr>
              <w:pStyle w:val="PlainText"/>
              <w:jc w:val="center"/>
              <w:rPr>
                <w:rFonts w:asciiTheme="minorHAnsi" w:hAnsiTheme="minorHAnsi" w:cs="Times New Roman"/>
                <w:b/>
                <w:sz w:val="22"/>
                <w:szCs w:val="22"/>
              </w:rPr>
            </w:pPr>
            <w:r>
              <w:rPr>
                <w:rFonts w:asciiTheme="minorHAnsi" w:hAnsiTheme="minorHAnsi" w:cs="Times New Roman"/>
                <w:b/>
                <w:sz w:val="22"/>
                <w:szCs w:val="22"/>
              </w:rPr>
              <w:t>Item</w:t>
            </w:r>
          </w:p>
        </w:tc>
        <w:tc>
          <w:tcPr>
            <w:tcW w:w="12280" w:type="dxa"/>
          </w:tcPr>
          <w:p w14:paraId="1D863F0F" w14:textId="367EB624" w:rsidR="007E7228" w:rsidRDefault="007E7228" w:rsidP="00927939">
            <w:pPr>
              <w:pStyle w:val="PlainText"/>
              <w:jc w:val="center"/>
              <w:rPr>
                <w:rFonts w:asciiTheme="minorHAnsi" w:hAnsiTheme="minorHAnsi" w:cs="Times New Roman"/>
                <w:b/>
                <w:sz w:val="22"/>
                <w:szCs w:val="22"/>
              </w:rPr>
            </w:pPr>
            <w:r>
              <w:rPr>
                <w:rFonts w:asciiTheme="minorHAnsi" w:hAnsiTheme="minorHAnsi" w:cs="Times New Roman"/>
                <w:b/>
                <w:sz w:val="22"/>
                <w:szCs w:val="22"/>
              </w:rPr>
              <w:t>Summary and</w:t>
            </w:r>
          </w:p>
          <w:p w14:paraId="422DE5E3" w14:textId="32910312" w:rsidR="007E7228" w:rsidRPr="00A116C4" w:rsidRDefault="007E7228" w:rsidP="00FE5EDC">
            <w:pPr>
              <w:pStyle w:val="PlainText"/>
              <w:jc w:val="center"/>
              <w:rPr>
                <w:rFonts w:asciiTheme="minorHAnsi" w:hAnsiTheme="minorHAnsi" w:cs="Times New Roman"/>
                <w:b/>
                <w:sz w:val="22"/>
                <w:szCs w:val="22"/>
              </w:rPr>
            </w:pPr>
            <w:r>
              <w:rPr>
                <w:rFonts w:asciiTheme="minorHAnsi" w:hAnsiTheme="minorHAnsi" w:cs="Times New Roman"/>
                <w:b/>
                <w:sz w:val="22"/>
                <w:szCs w:val="22"/>
              </w:rPr>
              <w:t xml:space="preserve">Points </w:t>
            </w:r>
            <w:r w:rsidR="00FE5EDC">
              <w:rPr>
                <w:rFonts w:asciiTheme="minorHAnsi" w:hAnsiTheme="minorHAnsi" w:cs="Times New Roman"/>
                <w:b/>
                <w:sz w:val="22"/>
                <w:szCs w:val="22"/>
              </w:rPr>
              <w:t>to</w:t>
            </w:r>
            <w:r>
              <w:rPr>
                <w:rFonts w:asciiTheme="minorHAnsi" w:hAnsiTheme="minorHAnsi" w:cs="Times New Roman"/>
                <w:b/>
                <w:sz w:val="22"/>
                <w:szCs w:val="22"/>
              </w:rPr>
              <w:t xml:space="preserve"> Consider</w:t>
            </w:r>
          </w:p>
        </w:tc>
      </w:tr>
      <w:tr w:rsidR="007E7228" w:rsidRPr="00A116C4" w14:paraId="21DAFF3A" w14:textId="77777777" w:rsidTr="000D538B">
        <w:trPr>
          <w:trHeight w:val="144"/>
        </w:trPr>
        <w:tc>
          <w:tcPr>
            <w:tcW w:w="518" w:type="dxa"/>
          </w:tcPr>
          <w:p w14:paraId="08CB4187" w14:textId="77777777" w:rsidR="007E7228" w:rsidRDefault="007E7228" w:rsidP="0096588D">
            <w:pPr>
              <w:pStyle w:val="PlainText"/>
              <w:jc w:val="center"/>
              <w:rPr>
                <w:rFonts w:asciiTheme="minorHAnsi" w:hAnsiTheme="minorHAnsi" w:cs="Times New Roman"/>
                <w:sz w:val="22"/>
                <w:szCs w:val="22"/>
              </w:rPr>
            </w:pPr>
          </w:p>
        </w:tc>
        <w:tc>
          <w:tcPr>
            <w:tcW w:w="1872" w:type="dxa"/>
          </w:tcPr>
          <w:p w14:paraId="789D8C44" w14:textId="77777777" w:rsidR="007E7228" w:rsidRPr="009B2562" w:rsidRDefault="007E7228" w:rsidP="0096588D">
            <w:pPr>
              <w:pStyle w:val="PlainText"/>
              <w:jc w:val="both"/>
              <w:rPr>
                <w:rFonts w:asciiTheme="minorHAnsi" w:hAnsiTheme="minorHAnsi"/>
                <w:b/>
                <w:i/>
                <w:sz w:val="22"/>
                <w:szCs w:val="22"/>
              </w:rPr>
            </w:pPr>
          </w:p>
        </w:tc>
        <w:tc>
          <w:tcPr>
            <w:tcW w:w="12280" w:type="dxa"/>
          </w:tcPr>
          <w:p w14:paraId="4F1AFDB2" w14:textId="77777777" w:rsidR="007E7228" w:rsidRPr="00916DB0" w:rsidRDefault="007E7228" w:rsidP="0096588D">
            <w:pPr>
              <w:pStyle w:val="PlainText"/>
              <w:jc w:val="both"/>
              <w:rPr>
                <w:rFonts w:asciiTheme="minorHAnsi" w:hAnsiTheme="minorHAnsi" w:cs="Times New Roman"/>
                <w:color w:val="FF0000"/>
                <w:sz w:val="22"/>
                <w:szCs w:val="22"/>
              </w:rPr>
            </w:pPr>
          </w:p>
        </w:tc>
      </w:tr>
      <w:tr w:rsidR="007E7228" w:rsidRPr="00A116C4" w14:paraId="34AC1A66" w14:textId="77777777" w:rsidTr="000D538B">
        <w:trPr>
          <w:trHeight w:val="432"/>
        </w:trPr>
        <w:tc>
          <w:tcPr>
            <w:tcW w:w="518" w:type="dxa"/>
          </w:tcPr>
          <w:p w14:paraId="697E22F8" w14:textId="77777777" w:rsidR="007E7228" w:rsidRPr="00690A80" w:rsidRDefault="007E7228" w:rsidP="00690A80">
            <w:pPr>
              <w:pStyle w:val="PlainText"/>
              <w:jc w:val="center"/>
              <w:rPr>
                <w:rFonts w:asciiTheme="minorHAnsi" w:hAnsiTheme="minorHAnsi" w:cs="Times New Roman"/>
                <w:b/>
                <w:sz w:val="22"/>
                <w:szCs w:val="22"/>
              </w:rPr>
            </w:pPr>
            <w:r>
              <w:rPr>
                <w:b/>
              </w:rPr>
              <w:br w:type="page"/>
            </w:r>
            <w:r>
              <w:rPr>
                <w:rFonts w:asciiTheme="minorHAnsi" w:hAnsiTheme="minorHAnsi" w:cs="Times New Roman"/>
                <w:b/>
                <w:sz w:val="22"/>
                <w:szCs w:val="22"/>
              </w:rPr>
              <w:t>1.</w:t>
            </w:r>
          </w:p>
        </w:tc>
        <w:tc>
          <w:tcPr>
            <w:tcW w:w="1872" w:type="dxa"/>
          </w:tcPr>
          <w:p w14:paraId="27106833" w14:textId="77777777" w:rsidR="007E7228" w:rsidRDefault="007E7228" w:rsidP="00BA2A12">
            <w:pPr>
              <w:pStyle w:val="PlainText"/>
              <w:jc w:val="center"/>
              <w:rPr>
                <w:rFonts w:asciiTheme="minorHAnsi" w:hAnsiTheme="minorHAnsi"/>
                <w:b/>
                <w:i/>
                <w:sz w:val="22"/>
                <w:szCs w:val="22"/>
              </w:rPr>
            </w:pPr>
            <w:r>
              <w:rPr>
                <w:rFonts w:asciiTheme="minorHAnsi" w:hAnsiTheme="minorHAnsi"/>
                <w:b/>
                <w:i/>
                <w:sz w:val="22"/>
                <w:szCs w:val="22"/>
              </w:rPr>
              <w:t>Effective Dates</w:t>
            </w:r>
          </w:p>
          <w:p w14:paraId="3B7A39C7" w14:textId="77777777" w:rsidR="007E7228" w:rsidRPr="00D96331" w:rsidRDefault="007E7228" w:rsidP="00BA2A12">
            <w:pPr>
              <w:pStyle w:val="PlainText"/>
              <w:jc w:val="center"/>
              <w:rPr>
                <w:rFonts w:asciiTheme="minorHAnsi" w:hAnsiTheme="minorHAnsi"/>
                <w:b/>
                <w:i/>
                <w:sz w:val="12"/>
                <w:szCs w:val="12"/>
              </w:rPr>
            </w:pPr>
          </w:p>
          <w:p w14:paraId="5B076B8C" w14:textId="77777777" w:rsidR="007E7228" w:rsidRPr="003E2F73" w:rsidRDefault="007E7228" w:rsidP="00BA2A12">
            <w:pPr>
              <w:pStyle w:val="PlainText"/>
              <w:jc w:val="center"/>
              <w:rPr>
                <w:rFonts w:asciiTheme="minorHAnsi" w:hAnsiTheme="minorHAnsi"/>
                <w:b/>
                <w:i/>
                <w:sz w:val="22"/>
                <w:szCs w:val="22"/>
              </w:rPr>
            </w:pPr>
            <w:r>
              <w:rPr>
                <w:rFonts w:asciiTheme="minorHAnsi" w:hAnsiTheme="minorHAnsi"/>
                <w:b/>
                <w:i/>
                <w:sz w:val="22"/>
                <w:szCs w:val="22"/>
              </w:rPr>
              <w:t>(200.110)</w:t>
            </w:r>
          </w:p>
        </w:tc>
        <w:tc>
          <w:tcPr>
            <w:tcW w:w="12280" w:type="dxa"/>
          </w:tcPr>
          <w:p w14:paraId="24A32B27" w14:textId="77777777" w:rsidR="005E0BEB" w:rsidRDefault="005E0BEB" w:rsidP="00A13145">
            <w:pPr>
              <w:pStyle w:val="TableContents"/>
              <w:jc w:val="both"/>
              <w:rPr>
                <w:rFonts w:asciiTheme="minorHAnsi" w:hAnsiTheme="minorHAnsi"/>
                <w:sz w:val="22"/>
                <w:szCs w:val="22"/>
              </w:rPr>
            </w:pPr>
            <w:r w:rsidRPr="005E0BEB">
              <w:rPr>
                <w:rFonts w:asciiTheme="minorHAnsi" w:hAnsiTheme="minorHAnsi"/>
                <w:sz w:val="22"/>
                <w:szCs w:val="22"/>
              </w:rPr>
              <w:t xml:space="preserve">200.110(a) and (b) specify that </w:t>
            </w:r>
            <w:r w:rsidR="00D75A10" w:rsidRPr="005E0BEB">
              <w:rPr>
                <w:rFonts w:asciiTheme="minorHAnsi" w:hAnsiTheme="minorHAnsi"/>
                <w:sz w:val="22"/>
                <w:szCs w:val="22"/>
              </w:rPr>
              <w:t>Federal agencies must implement the policies and procedures applicable to Federal awards by promulgating regulations to be effective by December 26, 2014.  Subpart F-Audit Requirements will apply to audits of fiscal year beginning on or after December 26, 2014.</w:t>
            </w:r>
          </w:p>
          <w:p w14:paraId="05875DC4" w14:textId="77777777" w:rsidR="005E0BEB" w:rsidRPr="00FE5EDC" w:rsidRDefault="005E0BEB" w:rsidP="00A13145">
            <w:pPr>
              <w:pStyle w:val="TableContents"/>
              <w:jc w:val="both"/>
              <w:rPr>
                <w:rFonts w:asciiTheme="minorHAnsi" w:hAnsiTheme="minorHAnsi"/>
                <w:sz w:val="12"/>
                <w:szCs w:val="12"/>
              </w:rPr>
            </w:pPr>
          </w:p>
          <w:p w14:paraId="1AD12DA1" w14:textId="6DC05A23" w:rsidR="00E258A1" w:rsidRDefault="005E0BEB" w:rsidP="00A13145">
            <w:pPr>
              <w:pStyle w:val="TableContents"/>
              <w:jc w:val="both"/>
              <w:rPr>
                <w:rFonts w:ascii="Calibri" w:hAnsi="Calibri"/>
                <w:sz w:val="22"/>
                <w:szCs w:val="22"/>
              </w:rPr>
            </w:pPr>
            <w:r>
              <w:rPr>
                <w:rFonts w:ascii="Calibri" w:hAnsi="Calibri"/>
                <w:sz w:val="22"/>
                <w:szCs w:val="22"/>
              </w:rPr>
              <w:t xml:space="preserve">COFAR </w:t>
            </w:r>
            <w:r w:rsidRPr="00690A80">
              <w:rPr>
                <w:rFonts w:ascii="Calibri" w:hAnsi="Calibri"/>
                <w:sz w:val="22"/>
                <w:szCs w:val="22"/>
              </w:rPr>
              <w:t xml:space="preserve">FAQs .110-7 and .110-12 specify that </w:t>
            </w:r>
            <w:r>
              <w:rPr>
                <w:rFonts w:ascii="Calibri" w:hAnsi="Calibri"/>
                <w:sz w:val="22"/>
                <w:szCs w:val="22"/>
              </w:rPr>
              <w:t>funding i</w:t>
            </w:r>
            <w:r w:rsidRPr="00690A80">
              <w:rPr>
                <w:rFonts w:ascii="Calibri" w:hAnsi="Calibri"/>
                <w:sz w:val="22"/>
                <w:szCs w:val="22"/>
              </w:rPr>
              <w:t>ncrement</w:t>
            </w:r>
            <w:r>
              <w:rPr>
                <w:rFonts w:ascii="Calibri" w:hAnsi="Calibri"/>
                <w:sz w:val="22"/>
                <w:szCs w:val="22"/>
              </w:rPr>
              <w:t xml:space="preserve">s </w:t>
            </w:r>
            <w:r w:rsidRPr="00690A80">
              <w:rPr>
                <w:rFonts w:ascii="Calibri" w:hAnsi="Calibri"/>
                <w:sz w:val="22"/>
                <w:szCs w:val="22"/>
              </w:rPr>
              <w:t xml:space="preserve">on existing awards, </w:t>
            </w:r>
            <w:r>
              <w:rPr>
                <w:rFonts w:ascii="Calibri" w:hAnsi="Calibri"/>
                <w:sz w:val="22"/>
                <w:szCs w:val="22"/>
              </w:rPr>
              <w:t xml:space="preserve">issued </w:t>
            </w:r>
            <w:r w:rsidRPr="00690A80">
              <w:rPr>
                <w:rFonts w:ascii="Calibri" w:hAnsi="Calibri"/>
                <w:sz w:val="22"/>
                <w:szCs w:val="22"/>
              </w:rPr>
              <w:t xml:space="preserve">post 12/26/14, </w:t>
            </w:r>
            <w:r>
              <w:rPr>
                <w:rFonts w:ascii="Calibri" w:hAnsi="Calibri"/>
                <w:sz w:val="22"/>
                <w:szCs w:val="22"/>
              </w:rPr>
              <w:t>may be</w:t>
            </w:r>
            <w:r w:rsidRPr="00690A80">
              <w:rPr>
                <w:rFonts w:ascii="Calibri" w:hAnsi="Calibri"/>
                <w:sz w:val="22"/>
                <w:szCs w:val="22"/>
              </w:rPr>
              <w:t xml:space="preserve"> subject to </w:t>
            </w:r>
            <w:r>
              <w:rPr>
                <w:rFonts w:ascii="Calibri" w:hAnsi="Calibri"/>
                <w:sz w:val="22"/>
                <w:szCs w:val="22"/>
              </w:rPr>
              <w:t xml:space="preserve">the UG at the </w:t>
            </w:r>
            <w:r w:rsidRPr="00690A80">
              <w:rPr>
                <w:rFonts w:ascii="Calibri" w:hAnsi="Calibri"/>
                <w:sz w:val="22"/>
                <w:szCs w:val="22"/>
              </w:rPr>
              <w:t>agency</w:t>
            </w:r>
            <w:r>
              <w:rPr>
                <w:rFonts w:ascii="Calibri" w:hAnsi="Calibri"/>
                <w:sz w:val="22"/>
                <w:szCs w:val="22"/>
              </w:rPr>
              <w:t>’s</w:t>
            </w:r>
            <w:r w:rsidRPr="00690A80">
              <w:rPr>
                <w:rFonts w:ascii="Calibri" w:hAnsi="Calibri"/>
                <w:sz w:val="22"/>
                <w:szCs w:val="22"/>
              </w:rPr>
              <w:t xml:space="preserve"> discretion</w:t>
            </w:r>
            <w:r>
              <w:rPr>
                <w:rFonts w:ascii="Calibri" w:hAnsi="Calibri"/>
                <w:sz w:val="22"/>
                <w:szCs w:val="22"/>
              </w:rPr>
              <w:t xml:space="preserve"> and if</w:t>
            </w:r>
            <w:r w:rsidRPr="00690A80">
              <w:rPr>
                <w:rFonts w:ascii="Calibri" w:hAnsi="Calibri"/>
                <w:sz w:val="22"/>
                <w:szCs w:val="22"/>
              </w:rPr>
              <w:t xml:space="preserve"> the </w:t>
            </w:r>
            <w:r w:rsidR="0056466D">
              <w:rPr>
                <w:rFonts w:ascii="Calibri" w:hAnsi="Calibri"/>
                <w:sz w:val="22"/>
                <w:szCs w:val="22"/>
              </w:rPr>
              <w:t>i</w:t>
            </w:r>
            <w:r w:rsidRPr="00690A80">
              <w:rPr>
                <w:rFonts w:ascii="Calibri" w:hAnsi="Calibri"/>
                <w:sz w:val="22"/>
                <w:szCs w:val="22"/>
              </w:rPr>
              <w:t xml:space="preserve">ncremental </w:t>
            </w:r>
            <w:r w:rsidR="0056466D">
              <w:rPr>
                <w:rFonts w:ascii="Calibri" w:hAnsi="Calibri"/>
                <w:sz w:val="22"/>
                <w:szCs w:val="22"/>
              </w:rPr>
              <w:t>f</w:t>
            </w:r>
            <w:r w:rsidRPr="00690A80">
              <w:rPr>
                <w:rFonts w:ascii="Calibri" w:hAnsi="Calibri"/>
                <w:sz w:val="22"/>
                <w:szCs w:val="22"/>
              </w:rPr>
              <w:t xml:space="preserve">unding </w:t>
            </w:r>
            <w:r>
              <w:rPr>
                <w:rFonts w:ascii="Calibri" w:hAnsi="Calibri"/>
                <w:sz w:val="22"/>
                <w:szCs w:val="22"/>
              </w:rPr>
              <w:t xml:space="preserve">is subject to the UG, it </w:t>
            </w:r>
            <w:r w:rsidRPr="00690A80">
              <w:rPr>
                <w:rFonts w:ascii="Calibri" w:hAnsi="Calibri"/>
                <w:sz w:val="22"/>
                <w:szCs w:val="22"/>
              </w:rPr>
              <w:t>will be issued with</w:t>
            </w:r>
            <w:r>
              <w:rPr>
                <w:rFonts w:ascii="Calibri" w:hAnsi="Calibri"/>
                <w:sz w:val="22"/>
                <w:szCs w:val="22"/>
              </w:rPr>
              <w:t xml:space="preserve"> modified terms and conditions.</w:t>
            </w:r>
          </w:p>
          <w:p w14:paraId="7710F1C5" w14:textId="77777777" w:rsidR="00FE5EDC" w:rsidRPr="00FE5EDC" w:rsidRDefault="00FE5EDC" w:rsidP="00FE5EDC">
            <w:pPr>
              <w:pStyle w:val="TableContents"/>
              <w:jc w:val="both"/>
              <w:rPr>
                <w:rFonts w:asciiTheme="minorHAnsi" w:hAnsiTheme="minorHAnsi"/>
                <w:sz w:val="12"/>
                <w:szCs w:val="12"/>
              </w:rPr>
            </w:pPr>
          </w:p>
          <w:p w14:paraId="3B0B1607" w14:textId="77777777" w:rsidR="00E258A1" w:rsidRDefault="00E258A1" w:rsidP="00A13145">
            <w:pPr>
              <w:pStyle w:val="TableContents"/>
              <w:jc w:val="both"/>
              <w:rPr>
                <w:rFonts w:ascii="Calibri" w:hAnsi="Calibri"/>
                <w:sz w:val="22"/>
                <w:szCs w:val="22"/>
              </w:rPr>
            </w:pPr>
            <w:r w:rsidRPr="00D96331">
              <w:rPr>
                <w:rFonts w:ascii="Calibri" w:hAnsi="Calibri"/>
                <w:sz w:val="22"/>
                <w:szCs w:val="22"/>
              </w:rPr>
              <w:t>COFAR FAQ .110-2 states that F&amp;A rate proposals based on FY14 can be developed using provisions in the UG</w:t>
            </w:r>
            <w:r>
              <w:rPr>
                <w:rFonts w:ascii="Calibri" w:hAnsi="Calibri"/>
                <w:sz w:val="22"/>
                <w:szCs w:val="22"/>
              </w:rPr>
              <w:t>.</w:t>
            </w:r>
          </w:p>
          <w:p w14:paraId="601817CA" w14:textId="77777777" w:rsidR="00FE5EDC" w:rsidRPr="00FE5EDC" w:rsidRDefault="00FE5EDC" w:rsidP="00FE5EDC">
            <w:pPr>
              <w:pStyle w:val="TableContents"/>
              <w:jc w:val="both"/>
              <w:rPr>
                <w:rFonts w:asciiTheme="minorHAnsi" w:hAnsiTheme="minorHAnsi"/>
                <w:sz w:val="12"/>
                <w:szCs w:val="12"/>
              </w:rPr>
            </w:pPr>
          </w:p>
          <w:p w14:paraId="095F9BD8" w14:textId="5E5CD6E3" w:rsidR="007E7228" w:rsidRDefault="00E258A1" w:rsidP="00A13145">
            <w:pPr>
              <w:pStyle w:val="TableContents"/>
              <w:jc w:val="both"/>
              <w:rPr>
                <w:rFonts w:asciiTheme="minorHAnsi" w:hAnsiTheme="minorHAnsi"/>
                <w:sz w:val="22"/>
                <w:szCs w:val="22"/>
              </w:rPr>
            </w:pPr>
            <w:r>
              <w:rPr>
                <w:rFonts w:ascii="Calibri" w:hAnsi="Calibri"/>
                <w:sz w:val="22"/>
                <w:szCs w:val="22"/>
              </w:rPr>
              <w:t>COFAR FAQs .110-3 and .110-5 provide guidance to IHE’s for submitting revised DS-2s</w:t>
            </w:r>
            <w:r>
              <w:rPr>
                <w:rFonts w:asciiTheme="minorHAnsi" w:hAnsiTheme="minorHAnsi"/>
                <w:sz w:val="22"/>
                <w:szCs w:val="22"/>
              </w:rPr>
              <w:t>.</w:t>
            </w:r>
          </w:p>
          <w:p w14:paraId="175578BA" w14:textId="77777777" w:rsidR="00FE5EDC" w:rsidRPr="00FE5EDC" w:rsidRDefault="00FE5EDC" w:rsidP="00FE5EDC">
            <w:pPr>
              <w:pStyle w:val="TableContents"/>
              <w:jc w:val="both"/>
              <w:rPr>
                <w:rFonts w:asciiTheme="minorHAnsi" w:hAnsiTheme="minorHAnsi"/>
                <w:sz w:val="12"/>
                <w:szCs w:val="12"/>
              </w:rPr>
            </w:pPr>
          </w:p>
          <w:p w14:paraId="3D76BD1D" w14:textId="7311ABBD" w:rsidR="00E258A1" w:rsidRDefault="00E258A1" w:rsidP="00A13145">
            <w:pPr>
              <w:pStyle w:val="TableContents"/>
              <w:jc w:val="both"/>
              <w:rPr>
                <w:rFonts w:asciiTheme="minorHAnsi" w:hAnsiTheme="minorHAnsi"/>
                <w:sz w:val="22"/>
                <w:szCs w:val="22"/>
              </w:rPr>
            </w:pPr>
            <w:r>
              <w:rPr>
                <w:rFonts w:ascii="Calibri" w:hAnsi="Calibri"/>
                <w:sz w:val="22"/>
                <w:szCs w:val="22"/>
              </w:rPr>
              <w:t xml:space="preserve">COFAR </w:t>
            </w:r>
            <w:r w:rsidRPr="00D96331">
              <w:rPr>
                <w:rFonts w:ascii="Calibri" w:hAnsi="Calibri"/>
                <w:sz w:val="22"/>
                <w:szCs w:val="22"/>
              </w:rPr>
              <w:t>FAQ .110-6 creates a grace period for the implementation of the Procurement Standards</w:t>
            </w:r>
            <w:r>
              <w:rPr>
                <w:rFonts w:ascii="Calibri" w:hAnsi="Calibri"/>
                <w:sz w:val="22"/>
                <w:szCs w:val="22"/>
              </w:rPr>
              <w:t xml:space="preserve">. </w:t>
            </w:r>
            <w:r w:rsidRPr="00D96331">
              <w:rPr>
                <w:rFonts w:ascii="Calibri" w:hAnsi="Calibri"/>
                <w:sz w:val="22"/>
                <w:szCs w:val="22"/>
              </w:rPr>
              <w:t>For FY16, institutions have the option to use Circular A-110 or the UG. Beginning with FY17, institutions must comply with the UG</w:t>
            </w:r>
            <w:r w:rsidR="00E33CE6">
              <w:rPr>
                <w:rFonts w:ascii="Calibri" w:hAnsi="Calibri"/>
                <w:sz w:val="22"/>
                <w:szCs w:val="22"/>
              </w:rPr>
              <w:t>.</w:t>
            </w:r>
          </w:p>
          <w:p w14:paraId="33EA6F2F" w14:textId="77777777" w:rsidR="007E7228" w:rsidRDefault="007E7228" w:rsidP="00A13145">
            <w:pPr>
              <w:pStyle w:val="TableContents"/>
              <w:jc w:val="both"/>
              <w:rPr>
                <w:rFonts w:asciiTheme="minorHAnsi" w:hAnsiTheme="minorHAnsi"/>
                <w:sz w:val="22"/>
                <w:szCs w:val="22"/>
              </w:rPr>
            </w:pPr>
          </w:p>
          <w:p w14:paraId="035A33CD" w14:textId="1AEE02C3" w:rsidR="00E258A1" w:rsidRPr="00E258A1" w:rsidRDefault="00E258A1" w:rsidP="00A13145">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FE5EDC">
              <w:rPr>
                <w:rFonts w:asciiTheme="minorHAnsi" w:hAnsiTheme="minorHAnsi"/>
                <w:b/>
                <w:i/>
                <w:sz w:val="22"/>
                <w:szCs w:val="22"/>
              </w:rPr>
              <w:t xml:space="preserve">TO </w:t>
            </w:r>
            <w:r w:rsidRPr="00E258A1">
              <w:rPr>
                <w:rFonts w:asciiTheme="minorHAnsi" w:hAnsiTheme="minorHAnsi"/>
                <w:b/>
                <w:i/>
                <w:sz w:val="22"/>
                <w:szCs w:val="22"/>
              </w:rPr>
              <w:t>CONSIDER:</w:t>
            </w:r>
          </w:p>
          <w:p w14:paraId="3681FB44" w14:textId="77777777" w:rsidR="00E258A1" w:rsidRPr="00FE5EDC" w:rsidRDefault="00E258A1" w:rsidP="00A13145">
            <w:pPr>
              <w:pStyle w:val="TableContents"/>
              <w:jc w:val="both"/>
              <w:rPr>
                <w:rFonts w:asciiTheme="minorHAnsi" w:hAnsiTheme="minorHAnsi"/>
                <w:sz w:val="12"/>
                <w:szCs w:val="12"/>
              </w:rPr>
            </w:pPr>
          </w:p>
          <w:p w14:paraId="42ED7A91" w14:textId="5E610299" w:rsidR="007E7228" w:rsidRPr="00E55291" w:rsidRDefault="00FE5EDC" w:rsidP="004C28F6">
            <w:pPr>
              <w:pStyle w:val="TableContents"/>
              <w:numPr>
                <w:ilvl w:val="0"/>
                <w:numId w:val="39"/>
              </w:numPr>
              <w:jc w:val="both"/>
              <w:rPr>
                <w:rFonts w:ascii="Calibri" w:hAnsi="Calibri"/>
                <w:sz w:val="22"/>
                <w:szCs w:val="22"/>
              </w:rPr>
            </w:pPr>
            <w:r w:rsidRPr="00E55291">
              <w:rPr>
                <w:rFonts w:ascii="Calibri" w:hAnsi="Calibri"/>
                <w:sz w:val="22"/>
                <w:szCs w:val="22"/>
              </w:rPr>
              <w:t>T</w:t>
            </w:r>
            <w:r w:rsidR="007E7228" w:rsidRPr="00E55291">
              <w:rPr>
                <w:rFonts w:ascii="Calibri" w:hAnsi="Calibri"/>
                <w:sz w:val="22"/>
                <w:szCs w:val="22"/>
              </w:rPr>
              <w:t>rack, if necessary, awards issued under the Circulars and awards issued under the UG.</w:t>
            </w:r>
          </w:p>
          <w:p w14:paraId="534EFDC7" w14:textId="46050D09" w:rsidR="005730C7" w:rsidRPr="00E55291" w:rsidRDefault="005730C7" w:rsidP="004C28F6">
            <w:pPr>
              <w:pStyle w:val="TableContents"/>
              <w:numPr>
                <w:ilvl w:val="0"/>
                <w:numId w:val="39"/>
              </w:numPr>
              <w:jc w:val="both"/>
              <w:rPr>
                <w:rFonts w:ascii="Calibri" w:hAnsi="Calibri"/>
                <w:sz w:val="22"/>
                <w:szCs w:val="22"/>
              </w:rPr>
            </w:pPr>
            <w:r w:rsidRPr="00E55291">
              <w:rPr>
                <w:rFonts w:ascii="Calibri" w:hAnsi="Calibri"/>
                <w:sz w:val="22"/>
                <w:szCs w:val="22"/>
              </w:rPr>
              <w:t>Update institutional policy to specify which federal procurement policies will be followed.</w:t>
            </w:r>
          </w:p>
          <w:p w14:paraId="4AD1DF4C" w14:textId="519711E4" w:rsidR="005730C7" w:rsidRPr="00E55291" w:rsidRDefault="005730C7" w:rsidP="004C28F6">
            <w:pPr>
              <w:pStyle w:val="TableContents"/>
              <w:numPr>
                <w:ilvl w:val="0"/>
                <w:numId w:val="39"/>
              </w:numPr>
              <w:jc w:val="both"/>
              <w:rPr>
                <w:rFonts w:ascii="Calibri" w:hAnsi="Calibri"/>
                <w:sz w:val="22"/>
                <w:szCs w:val="22"/>
              </w:rPr>
            </w:pPr>
            <w:r w:rsidRPr="00E55291">
              <w:rPr>
                <w:rFonts w:asciiTheme="minorHAnsi" w:hAnsiTheme="minorHAnsi"/>
                <w:sz w:val="22"/>
                <w:szCs w:val="22"/>
              </w:rPr>
              <w:t xml:space="preserve">Work closely with your A-133/Single Audit team to </w:t>
            </w:r>
            <w:r w:rsidR="00E55291" w:rsidRPr="00E55291">
              <w:rPr>
                <w:rFonts w:asciiTheme="minorHAnsi" w:hAnsiTheme="minorHAnsi"/>
                <w:sz w:val="22"/>
                <w:szCs w:val="22"/>
              </w:rPr>
              <w:t xml:space="preserve">understand the approach </w:t>
            </w:r>
            <w:r w:rsidRPr="00E55291">
              <w:rPr>
                <w:rFonts w:asciiTheme="minorHAnsi" w:hAnsiTheme="minorHAnsi"/>
                <w:sz w:val="22"/>
                <w:szCs w:val="22"/>
              </w:rPr>
              <w:t xml:space="preserve">to the FY2015 single audit. Technically, Subpart F will be effective for the institution’s first FY beginning on or after 12/26/14 (e.g., fiscal year beginning on July 1, 2015, or FY2016). However, the 2015 Compliance Supplement (normally released in March) </w:t>
            </w:r>
            <w:r w:rsidR="00FE5EDC" w:rsidRPr="00E55291">
              <w:rPr>
                <w:rFonts w:asciiTheme="minorHAnsi" w:hAnsiTheme="minorHAnsi"/>
                <w:sz w:val="22"/>
                <w:szCs w:val="22"/>
              </w:rPr>
              <w:t>will</w:t>
            </w:r>
            <w:r w:rsidRPr="00E55291">
              <w:rPr>
                <w:rFonts w:asciiTheme="minorHAnsi" w:hAnsiTheme="minorHAnsi"/>
                <w:sz w:val="22"/>
                <w:szCs w:val="22"/>
              </w:rPr>
              <w:t xml:space="preserve"> include </w:t>
            </w:r>
            <w:r w:rsidR="00FE5EDC" w:rsidRPr="00E55291">
              <w:rPr>
                <w:rFonts w:asciiTheme="minorHAnsi" w:hAnsiTheme="minorHAnsi"/>
                <w:sz w:val="22"/>
                <w:szCs w:val="22"/>
              </w:rPr>
              <w:t>guidance to auditors on how to review and audit new awards to which the UG is applicable.</w:t>
            </w:r>
          </w:p>
          <w:p w14:paraId="7363D76B" w14:textId="77777777" w:rsidR="007E7228" w:rsidRDefault="005730C7" w:rsidP="00A13145">
            <w:pPr>
              <w:pStyle w:val="TableContents"/>
              <w:numPr>
                <w:ilvl w:val="0"/>
                <w:numId w:val="39"/>
              </w:numPr>
              <w:jc w:val="both"/>
              <w:rPr>
                <w:rFonts w:ascii="Calibri" w:hAnsi="Calibri"/>
                <w:sz w:val="22"/>
                <w:szCs w:val="22"/>
              </w:rPr>
            </w:pPr>
            <w:r w:rsidRPr="00E55291">
              <w:rPr>
                <w:rFonts w:ascii="Calibri" w:hAnsi="Calibri"/>
                <w:sz w:val="22"/>
                <w:szCs w:val="22"/>
              </w:rPr>
              <w:t>Pay close attention to new developments related to</w:t>
            </w:r>
            <w:r>
              <w:rPr>
                <w:rFonts w:ascii="Calibri" w:hAnsi="Calibri"/>
                <w:sz w:val="22"/>
                <w:szCs w:val="22"/>
              </w:rPr>
              <w:t xml:space="preserve"> updating the DS-2, as well as cognizant agency positions on F&amp;A rate proposal submissions. Some of these issues are unsettled and more clarification should be provided, shortly.</w:t>
            </w:r>
          </w:p>
          <w:p w14:paraId="2B83F44E" w14:textId="1F3C9D1B" w:rsidR="00FE5EDC" w:rsidRPr="00FE5EDC" w:rsidRDefault="00FE5EDC" w:rsidP="00FE5EDC">
            <w:pPr>
              <w:pStyle w:val="TableContents"/>
              <w:jc w:val="both"/>
              <w:rPr>
                <w:rFonts w:ascii="Calibri" w:hAnsi="Calibri"/>
                <w:sz w:val="22"/>
                <w:szCs w:val="22"/>
              </w:rPr>
            </w:pPr>
          </w:p>
        </w:tc>
      </w:tr>
      <w:tr w:rsidR="007E7228" w:rsidRPr="00A116C4" w14:paraId="27314B0F" w14:textId="77777777" w:rsidTr="000D538B">
        <w:trPr>
          <w:trHeight w:val="432"/>
        </w:trPr>
        <w:tc>
          <w:tcPr>
            <w:tcW w:w="518" w:type="dxa"/>
          </w:tcPr>
          <w:p w14:paraId="497D817D" w14:textId="38D13C76" w:rsidR="007E7228" w:rsidRPr="00A13145" w:rsidRDefault="007E7228" w:rsidP="00A13145">
            <w:pPr>
              <w:pStyle w:val="PlainText"/>
              <w:jc w:val="center"/>
              <w:rPr>
                <w:rFonts w:asciiTheme="minorHAnsi" w:hAnsiTheme="minorHAnsi" w:cs="Times New Roman"/>
                <w:b/>
                <w:sz w:val="22"/>
                <w:szCs w:val="22"/>
              </w:rPr>
            </w:pPr>
            <w:r>
              <w:rPr>
                <w:b/>
              </w:rPr>
              <w:br w:type="page"/>
            </w:r>
            <w:r w:rsidRPr="00A13145">
              <w:rPr>
                <w:rFonts w:asciiTheme="minorHAnsi" w:hAnsiTheme="minorHAnsi" w:cs="Times New Roman"/>
                <w:b/>
                <w:sz w:val="22"/>
                <w:szCs w:val="22"/>
              </w:rPr>
              <w:t>2.</w:t>
            </w:r>
          </w:p>
        </w:tc>
        <w:tc>
          <w:tcPr>
            <w:tcW w:w="1872" w:type="dxa"/>
          </w:tcPr>
          <w:p w14:paraId="6EDD76BE" w14:textId="77777777" w:rsidR="007E7228" w:rsidRDefault="007E7228" w:rsidP="00BA2A12">
            <w:pPr>
              <w:pStyle w:val="PlainText"/>
              <w:jc w:val="center"/>
              <w:rPr>
                <w:rFonts w:asciiTheme="minorHAnsi" w:hAnsiTheme="minorHAnsi"/>
                <w:b/>
                <w:i/>
                <w:sz w:val="22"/>
                <w:szCs w:val="22"/>
              </w:rPr>
            </w:pPr>
            <w:r w:rsidRPr="003E2F73">
              <w:rPr>
                <w:rFonts w:asciiTheme="minorHAnsi" w:hAnsiTheme="minorHAnsi"/>
                <w:b/>
                <w:i/>
                <w:sz w:val="22"/>
                <w:szCs w:val="22"/>
              </w:rPr>
              <w:t>Conflict of interest</w:t>
            </w:r>
          </w:p>
          <w:p w14:paraId="41214B2A" w14:textId="77777777" w:rsidR="007E7228" w:rsidRPr="00A13145" w:rsidRDefault="007E7228" w:rsidP="00BA2A12">
            <w:pPr>
              <w:pStyle w:val="PlainText"/>
              <w:jc w:val="center"/>
              <w:rPr>
                <w:rFonts w:asciiTheme="minorHAnsi" w:hAnsiTheme="minorHAnsi"/>
                <w:b/>
                <w:i/>
                <w:sz w:val="12"/>
                <w:szCs w:val="12"/>
              </w:rPr>
            </w:pPr>
          </w:p>
          <w:p w14:paraId="354D52B7" w14:textId="77777777" w:rsidR="007E7228" w:rsidRPr="003E2F73" w:rsidRDefault="007E7228" w:rsidP="00BA2A12">
            <w:pPr>
              <w:pStyle w:val="PlainText"/>
              <w:jc w:val="center"/>
              <w:rPr>
                <w:rFonts w:asciiTheme="minorHAnsi" w:hAnsiTheme="minorHAnsi" w:cs="Times New Roman"/>
                <w:b/>
                <w:i/>
                <w:sz w:val="22"/>
                <w:szCs w:val="22"/>
              </w:rPr>
            </w:pPr>
            <w:r>
              <w:rPr>
                <w:rFonts w:asciiTheme="minorHAnsi" w:hAnsiTheme="minorHAnsi"/>
                <w:b/>
                <w:i/>
                <w:sz w:val="22"/>
                <w:szCs w:val="22"/>
              </w:rPr>
              <w:t>(200.112)</w:t>
            </w:r>
          </w:p>
        </w:tc>
        <w:tc>
          <w:tcPr>
            <w:tcW w:w="12280" w:type="dxa"/>
          </w:tcPr>
          <w:p w14:paraId="726B02C1" w14:textId="369ED865" w:rsidR="007E7228" w:rsidRDefault="007E7228" w:rsidP="00A13145">
            <w:pPr>
              <w:pStyle w:val="PlainText"/>
              <w:jc w:val="both"/>
              <w:rPr>
                <w:rFonts w:asciiTheme="minorHAnsi" w:hAnsiTheme="minorHAnsi"/>
                <w:sz w:val="22"/>
                <w:szCs w:val="22"/>
              </w:rPr>
            </w:pPr>
            <w:r w:rsidRPr="00A13145">
              <w:rPr>
                <w:rFonts w:asciiTheme="minorHAnsi" w:hAnsiTheme="minorHAnsi"/>
                <w:sz w:val="22"/>
                <w:szCs w:val="22"/>
              </w:rPr>
              <w:t>COFAR FAQ .112-1 specifies this section of the UG does not refer to scientific conflicts of interest related to research. Instead, it refers to conflicts related to how decisions are made for selecting subrecipients or procurement</w:t>
            </w:r>
            <w:r w:rsidR="009A1CEE">
              <w:rPr>
                <w:rFonts w:asciiTheme="minorHAnsi" w:hAnsiTheme="minorHAnsi"/>
                <w:sz w:val="22"/>
                <w:szCs w:val="22"/>
              </w:rPr>
              <w:t>s as described in 200.318.</w:t>
            </w:r>
          </w:p>
          <w:p w14:paraId="3557D268" w14:textId="77777777" w:rsidR="00767823" w:rsidRPr="00FE5EDC" w:rsidRDefault="00767823" w:rsidP="00A13145">
            <w:pPr>
              <w:pStyle w:val="PlainText"/>
              <w:jc w:val="both"/>
              <w:rPr>
                <w:rFonts w:asciiTheme="minorHAnsi" w:hAnsiTheme="minorHAnsi"/>
                <w:sz w:val="22"/>
                <w:szCs w:val="22"/>
              </w:rPr>
            </w:pPr>
          </w:p>
          <w:p w14:paraId="29F3C514" w14:textId="7BB58D3E" w:rsidR="00767823" w:rsidRPr="00E258A1" w:rsidRDefault="00767823" w:rsidP="00767823">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FE5EDC">
              <w:rPr>
                <w:rFonts w:asciiTheme="minorHAnsi" w:hAnsiTheme="minorHAnsi"/>
                <w:b/>
                <w:i/>
                <w:sz w:val="22"/>
                <w:szCs w:val="22"/>
              </w:rPr>
              <w:t>TO</w:t>
            </w:r>
            <w:r w:rsidRPr="00E258A1">
              <w:rPr>
                <w:rFonts w:asciiTheme="minorHAnsi" w:hAnsiTheme="minorHAnsi"/>
                <w:b/>
                <w:i/>
                <w:sz w:val="22"/>
                <w:szCs w:val="22"/>
              </w:rPr>
              <w:t xml:space="preserve"> CONSIDER:</w:t>
            </w:r>
          </w:p>
          <w:p w14:paraId="07DC4AB7" w14:textId="77777777" w:rsidR="00767823" w:rsidRPr="00FE5EDC" w:rsidRDefault="00767823" w:rsidP="00767823">
            <w:pPr>
              <w:pStyle w:val="TableContents"/>
              <w:jc w:val="both"/>
              <w:rPr>
                <w:rFonts w:asciiTheme="minorHAnsi" w:hAnsiTheme="minorHAnsi"/>
                <w:sz w:val="12"/>
                <w:szCs w:val="12"/>
              </w:rPr>
            </w:pPr>
          </w:p>
          <w:p w14:paraId="7C536212" w14:textId="3E4C03BC" w:rsidR="00767823" w:rsidRDefault="007E7228" w:rsidP="004C28F6">
            <w:pPr>
              <w:pStyle w:val="TableContents"/>
              <w:numPr>
                <w:ilvl w:val="0"/>
                <w:numId w:val="40"/>
              </w:numPr>
              <w:jc w:val="both"/>
              <w:rPr>
                <w:rFonts w:ascii="Calibri" w:eastAsia="TrebuchetMS" w:hAnsi="Calibri" w:cs="TrebuchetMS"/>
                <w:color w:val="000000"/>
                <w:sz w:val="22"/>
                <w:szCs w:val="22"/>
              </w:rPr>
            </w:pPr>
            <w:r w:rsidRPr="00A13145">
              <w:rPr>
                <w:rFonts w:asciiTheme="minorHAnsi" w:eastAsia="TrebuchetMS" w:hAnsiTheme="minorHAnsi" w:cs="TrebuchetMS"/>
                <w:sz w:val="22"/>
                <w:szCs w:val="22"/>
              </w:rPr>
              <w:t>Review processes</w:t>
            </w:r>
            <w:r w:rsidRPr="00A13145">
              <w:rPr>
                <w:rFonts w:ascii="Calibri" w:eastAsia="TrebuchetMS" w:hAnsi="Calibri" w:cs="TrebuchetMS"/>
                <w:sz w:val="22"/>
                <w:szCs w:val="22"/>
              </w:rPr>
              <w:t xml:space="preserve"> </w:t>
            </w:r>
            <w:r>
              <w:rPr>
                <w:rFonts w:ascii="Calibri" w:eastAsia="TrebuchetMS" w:hAnsi="Calibri" w:cs="TrebuchetMS"/>
                <w:color w:val="000000"/>
                <w:sz w:val="22"/>
                <w:szCs w:val="22"/>
              </w:rPr>
              <w:t>for identifying and managing conflicts of interest in the procurement process.</w:t>
            </w:r>
          </w:p>
          <w:p w14:paraId="4688E0F8" w14:textId="1D1EAAE3" w:rsidR="007E7228" w:rsidRDefault="005730C7" w:rsidP="005730C7">
            <w:pPr>
              <w:pStyle w:val="TableContents"/>
              <w:numPr>
                <w:ilvl w:val="0"/>
                <w:numId w:val="40"/>
              </w:numPr>
              <w:jc w:val="both"/>
              <w:rPr>
                <w:rFonts w:ascii="Calibri" w:eastAsia="TrebuchetMS" w:hAnsi="Calibri" w:cs="TrebuchetMS"/>
                <w:color w:val="000000"/>
                <w:sz w:val="22"/>
                <w:szCs w:val="22"/>
              </w:rPr>
            </w:pPr>
            <w:r>
              <w:rPr>
                <w:rFonts w:ascii="Calibri" w:eastAsia="TrebuchetMS" w:hAnsi="Calibri" w:cs="TrebuchetMS"/>
                <w:color w:val="000000"/>
                <w:sz w:val="22"/>
                <w:szCs w:val="22"/>
              </w:rPr>
              <w:lastRenderedPageBreak/>
              <w:t xml:space="preserve">The standard convention is that that subrecipient selection is part of the proposal evaluation process and </w:t>
            </w:r>
            <w:r w:rsidRPr="00767823">
              <w:rPr>
                <w:rFonts w:ascii="Calibri" w:eastAsia="TrebuchetMS" w:hAnsi="Calibri" w:cs="TrebuchetMS"/>
                <w:color w:val="000000"/>
                <w:sz w:val="22"/>
                <w:szCs w:val="22"/>
                <w:u w:val="single"/>
              </w:rPr>
              <w:t>not</w:t>
            </w:r>
            <w:r>
              <w:rPr>
                <w:rFonts w:ascii="Calibri" w:eastAsia="TrebuchetMS" w:hAnsi="Calibri" w:cs="TrebuchetMS"/>
                <w:color w:val="000000"/>
                <w:sz w:val="22"/>
                <w:szCs w:val="22"/>
              </w:rPr>
              <w:t xml:space="preserve"> part of a procurement action. The FAQ confuses this matter. Institutions should clearly articulate their policies and distinguish between procurement actions and subrecipient selection.</w:t>
            </w:r>
          </w:p>
          <w:p w14:paraId="2DA8C860" w14:textId="2F2C0357" w:rsidR="00FE5EDC" w:rsidRPr="00FE5EDC" w:rsidRDefault="00FE5EDC" w:rsidP="00FE5EDC">
            <w:pPr>
              <w:pStyle w:val="TableContents"/>
              <w:ind w:left="360"/>
              <w:jc w:val="both"/>
              <w:rPr>
                <w:rFonts w:ascii="Calibri" w:eastAsia="TrebuchetMS" w:hAnsi="Calibri" w:cs="TrebuchetMS"/>
                <w:color w:val="000000"/>
                <w:sz w:val="22"/>
                <w:szCs w:val="22"/>
              </w:rPr>
            </w:pPr>
          </w:p>
        </w:tc>
      </w:tr>
      <w:tr w:rsidR="007E7228" w:rsidRPr="00A116C4" w14:paraId="46A302F1" w14:textId="77777777" w:rsidTr="000D538B">
        <w:trPr>
          <w:trHeight w:val="432"/>
        </w:trPr>
        <w:tc>
          <w:tcPr>
            <w:tcW w:w="518" w:type="dxa"/>
          </w:tcPr>
          <w:p w14:paraId="29193BAB" w14:textId="5B95A965" w:rsidR="007E7228" w:rsidRPr="00DD2917" w:rsidRDefault="007E7228" w:rsidP="00DD2917">
            <w:pPr>
              <w:pStyle w:val="PlainText"/>
              <w:jc w:val="center"/>
              <w:rPr>
                <w:rFonts w:asciiTheme="minorHAnsi" w:hAnsiTheme="minorHAnsi" w:cs="Times New Roman"/>
                <w:b/>
                <w:sz w:val="22"/>
                <w:szCs w:val="22"/>
              </w:rPr>
            </w:pPr>
            <w:r>
              <w:rPr>
                <w:b/>
              </w:rPr>
              <w:lastRenderedPageBreak/>
              <w:br w:type="page"/>
            </w:r>
            <w:r>
              <w:rPr>
                <w:rFonts w:asciiTheme="minorHAnsi" w:hAnsiTheme="minorHAnsi" w:cs="Times New Roman"/>
                <w:b/>
                <w:sz w:val="22"/>
                <w:szCs w:val="22"/>
              </w:rPr>
              <w:t>3.</w:t>
            </w:r>
          </w:p>
        </w:tc>
        <w:tc>
          <w:tcPr>
            <w:tcW w:w="1872" w:type="dxa"/>
          </w:tcPr>
          <w:p w14:paraId="4812D1F5" w14:textId="77777777" w:rsidR="007E7228" w:rsidRDefault="007E7228" w:rsidP="00CF6CF8">
            <w:pPr>
              <w:pStyle w:val="PlainText"/>
              <w:jc w:val="center"/>
              <w:rPr>
                <w:rFonts w:asciiTheme="minorHAnsi" w:hAnsiTheme="minorHAnsi"/>
                <w:b/>
                <w:i/>
                <w:sz w:val="22"/>
                <w:szCs w:val="22"/>
              </w:rPr>
            </w:pPr>
            <w:r>
              <w:rPr>
                <w:rFonts w:asciiTheme="minorHAnsi" w:hAnsiTheme="minorHAnsi"/>
                <w:b/>
                <w:i/>
                <w:sz w:val="22"/>
                <w:szCs w:val="22"/>
              </w:rPr>
              <w:t>Mandatory disclosures</w:t>
            </w:r>
          </w:p>
          <w:p w14:paraId="150D7EBF" w14:textId="77777777" w:rsidR="007E7228" w:rsidRPr="00DD2917" w:rsidRDefault="007E7228" w:rsidP="00CF6CF8">
            <w:pPr>
              <w:pStyle w:val="PlainText"/>
              <w:jc w:val="center"/>
              <w:rPr>
                <w:rFonts w:asciiTheme="minorHAnsi" w:hAnsiTheme="minorHAnsi"/>
                <w:b/>
                <w:i/>
                <w:sz w:val="12"/>
                <w:szCs w:val="12"/>
              </w:rPr>
            </w:pPr>
          </w:p>
          <w:p w14:paraId="41C41797" w14:textId="77777777" w:rsidR="007E7228" w:rsidRPr="003E2F73" w:rsidRDefault="007E7228" w:rsidP="00CF6CF8">
            <w:pPr>
              <w:pStyle w:val="PlainText"/>
              <w:jc w:val="center"/>
              <w:rPr>
                <w:rFonts w:asciiTheme="minorHAnsi" w:hAnsiTheme="minorHAnsi" w:cs="Times New Roman"/>
                <w:b/>
                <w:i/>
                <w:sz w:val="22"/>
                <w:szCs w:val="22"/>
              </w:rPr>
            </w:pPr>
            <w:r>
              <w:rPr>
                <w:rFonts w:asciiTheme="minorHAnsi" w:hAnsiTheme="minorHAnsi" w:cs="Times New Roman"/>
                <w:b/>
                <w:i/>
                <w:sz w:val="22"/>
                <w:szCs w:val="22"/>
              </w:rPr>
              <w:t>(200.113)</w:t>
            </w:r>
          </w:p>
        </w:tc>
        <w:tc>
          <w:tcPr>
            <w:tcW w:w="12280" w:type="dxa"/>
          </w:tcPr>
          <w:p w14:paraId="5FA1F15A" w14:textId="02C3559B" w:rsidR="00767823" w:rsidRDefault="00767823" w:rsidP="00DD2917">
            <w:pPr>
              <w:pStyle w:val="PlainText"/>
              <w:jc w:val="both"/>
              <w:rPr>
                <w:rFonts w:asciiTheme="minorHAnsi" w:hAnsiTheme="minorHAnsi"/>
                <w:bCs/>
                <w:sz w:val="22"/>
                <w:szCs w:val="22"/>
              </w:rPr>
            </w:pPr>
            <w:r>
              <w:rPr>
                <w:rFonts w:asciiTheme="minorHAnsi" w:hAnsiTheme="minorHAnsi"/>
                <w:bCs/>
                <w:sz w:val="22"/>
                <w:szCs w:val="22"/>
              </w:rPr>
              <w:t>This section is new to the Uniform Guidance.</w:t>
            </w:r>
          </w:p>
          <w:p w14:paraId="52EF84DE" w14:textId="77777777" w:rsidR="00767823" w:rsidRDefault="00767823" w:rsidP="00DD2917">
            <w:pPr>
              <w:pStyle w:val="PlainText"/>
              <w:jc w:val="both"/>
              <w:rPr>
                <w:rFonts w:asciiTheme="minorHAnsi" w:hAnsiTheme="minorHAnsi"/>
                <w:bCs/>
                <w:sz w:val="22"/>
                <w:szCs w:val="22"/>
              </w:rPr>
            </w:pPr>
          </w:p>
          <w:p w14:paraId="748AF30D" w14:textId="078FC813" w:rsidR="00767823" w:rsidRPr="00E258A1" w:rsidRDefault="00767823" w:rsidP="00767823">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4571C8">
              <w:rPr>
                <w:rFonts w:asciiTheme="minorHAnsi" w:hAnsiTheme="minorHAnsi"/>
                <w:b/>
                <w:i/>
                <w:sz w:val="22"/>
                <w:szCs w:val="22"/>
              </w:rPr>
              <w:t>TO</w:t>
            </w:r>
            <w:r w:rsidRPr="00E258A1">
              <w:rPr>
                <w:rFonts w:asciiTheme="minorHAnsi" w:hAnsiTheme="minorHAnsi"/>
                <w:b/>
                <w:i/>
                <w:sz w:val="22"/>
                <w:szCs w:val="22"/>
              </w:rPr>
              <w:t xml:space="preserve"> CONSIDER:</w:t>
            </w:r>
          </w:p>
          <w:p w14:paraId="42ABCD83" w14:textId="77777777" w:rsidR="00767823" w:rsidRPr="004571C8" w:rsidRDefault="00767823" w:rsidP="00DD2917">
            <w:pPr>
              <w:pStyle w:val="PlainText"/>
              <w:jc w:val="both"/>
              <w:rPr>
                <w:rFonts w:asciiTheme="minorHAnsi" w:hAnsiTheme="minorHAnsi"/>
                <w:bCs/>
                <w:sz w:val="12"/>
                <w:szCs w:val="12"/>
              </w:rPr>
            </w:pPr>
          </w:p>
          <w:p w14:paraId="1AC9CA28" w14:textId="6A2FDEA3" w:rsidR="007E7228" w:rsidRDefault="007E7228" w:rsidP="004C28F6">
            <w:pPr>
              <w:pStyle w:val="PlainText"/>
              <w:numPr>
                <w:ilvl w:val="0"/>
                <w:numId w:val="41"/>
              </w:numPr>
              <w:jc w:val="both"/>
              <w:rPr>
                <w:rFonts w:asciiTheme="minorHAnsi" w:hAnsiTheme="minorHAnsi"/>
                <w:bCs/>
                <w:sz w:val="22"/>
                <w:szCs w:val="22"/>
              </w:rPr>
            </w:pPr>
            <w:r w:rsidRPr="00DD2917">
              <w:rPr>
                <w:rFonts w:asciiTheme="minorHAnsi" w:hAnsiTheme="minorHAnsi"/>
                <w:bCs/>
                <w:sz w:val="22"/>
                <w:szCs w:val="22"/>
              </w:rPr>
              <w:t>COGR’s view is that this section does not change the current obligation and responsibility to disclose and report</w:t>
            </w:r>
            <w:r>
              <w:rPr>
                <w:rFonts w:asciiTheme="minorHAnsi" w:hAnsiTheme="minorHAnsi"/>
                <w:bCs/>
                <w:sz w:val="22"/>
                <w:szCs w:val="22"/>
              </w:rPr>
              <w:t xml:space="preserve"> violations of Federal criminal law involving fraud, bribery, or gratuity violations potentially affecting the Federal award</w:t>
            </w:r>
            <w:r w:rsidRPr="00DD2917">
              <w:rPr>
                <w:rFonts w:asciiTheme="minorHAnsi" w:hAnsiTheme="minorHAnsi"/>
                <w:bCs/>
                <w:sz w:val="22"/>
                <w:szCs w:val="22"/>
              </w:rPr>
              <w:t>. The FAR has provisions (Subpart 3.10 Contractor Code of Business Ethics and Conduct; see also DFARS Subpart 209.5; EDAR 3409.5; etc.) and institutions that receive Federal contracts already should have a mechanism for meeting this FAR requirement.</w:t>
            </w:r>
          </w:p>
          <w:p w14:paraId="2C84FAB9" w14:textId="77777777" w:rsidR="007E7228" w:rsidRDefault="005730C7" w:rsidP="00DD2917">
            <w:pPr>
              <w:pStyle w:val="PlainText"/>
              <w:numPr>
                <w:ilvl w:val="0"/>
                <w:numId w:val="41"/>
              </w:numPr>
              <w:jc w:val="both"/>
              <w:rPr>
                <w:rFonts w:asciiTheme="minorHAnsi" w:hAnsiTheme="minorHAnsi"/>
                <w:bCs/>
                <w:sz w:val="22"/>
                <w:szCs w:val="22"/>
              </w:rPr>
            </w:pPr>
            <w:r>
              <w:rPr>
                <w:rFonts w:asciiTheme="minorHAnsi" w:hAnsiTheme="minorHAnsi"/>
                <w:bCs/>
                <w:sz w:val="22"/>
                <w:szCs w:val="22"/>
              </w:rPr>
              <w:t>R</w:t>
            </w:r>
            <w:r w:rsidRPr="00DD2917">
              <w:rPr>
                <w:rFonts w:asciiTheme="minorHAnsi" w:hAnsiTheme="minorHAnsi"/>
                <w:bCs/>
                <w:sz w:val="22"/>
                <w:szCs w:val="22"/>
              </w:rPr>
              <w:t xml:space="preserve">eview current policies and practices (e.g., posting of hotline numbers, reportable violations, materiality levels, timeliness for reporting, etc.) to ensure that they </w:t>
            </w:r>
            <w:r>
              <w:rPr>
                <w:rFonts w:asciiTheme="minorHAnsi" w:hAnsiTheme="minorHAnsi"/>
                <w:bCs/>
                <w:sz w:val="22"/>
                <w:szCs w:val="22"/>
              </w:rPr>
              <w:t>provide for compliance with</w:t>
            </w:r>
            <w:r w:rsidRPr="00DD2917">
              <w:rPr>
                <w:rFonts w:asciiTheme="minorHAnsi" w:hAnsiTheme="minorHAnsi"/>
                <w:bCs/>
                <w:sz w:val="22"/>
                <w:szCs w:val="22"/>
              </w:rPr>
              <w:t xml:space="preserve"> current obligations to report</w:t>
            </w:r>
            <w:r>
              <w:rPr>
                <w:rFonts w:asciiTheme="minorHAnsi" w:hAnsiTheme="minorHAnsi"/>
                <w:bCs/>
                <w:sz w:val="22"/>
                <w:szCs w:val="22"/>
              </w:rPr>
              <w:t>.</w:t>
            </w:r>
          </w:p>
          <w:p w14:paraId="08DF38DB" w14:textId="420748E9" w:rsidR="004571C8" w:rsidRPr="004571C8" w:rsidRDefault="004571C8" w:rsidP="004571C8">
            <w:pPr>
              <w:pStyle w:val="PlainText"/>
              <w:ind w:left="360"/>
              <w:jc w:val="both"/>
              <w:rPr>
                <w:rFonts w:asciiTheme="minorHAnsi" w:hAnsiTheme="minorHAnsi"/>
                <w:bCs/>
                <w:sz w:val="22"/>
                <w:szCs w:val="22"/>
              </w:rPr>
            </w:pPr>
          </w:p>
        </w:tc>
      </w:tr>
      <w:tr w:rsidR="007E7228" w:rsidRPr="00A116C4" w14:paraId="65B7ED6F" w14:textId="77777777" w:rsidTr="000D538B">
        <w:trPr>
          <w:trHeight w:val="432"/>
        </w:trPr>
        <w:tc>
          <w:tcPr>
            <w:tcW w:w="518" w:type="dxa"/>
          </w:tcPr>
          <w:p w14:paraId="76B4C2C5" w14:textId="62B4F388" w:rsidR="007E7228" w:rsidRPr="00DD2917" w:rsidRDefault="007E7228" w:rsidP="00BC66F7">
            <w:pPr>
              <w:pStyle w:val="PlainText"/>
              <w:jc w:val="center"/>
              <w:rPr>
                <w:rFonts w:asciiTheme="minorHAnsi" w:hAnsiTheme="minorHAnsi" w:cs="Times New Roman"/>
                <w:b/>
                <w:sz w:val="22"/>
                <w:szCs w:val="22"/>
              </w:rPr>
            </w:pPr>
            <w:r>
              <w:rPr>
                <w:b/>
              </w:rPr>
              <w:br w:type="page"/>
              <w:t>4</w:t>
            </w:r>
            <w:r>
              <w:rPr>
                <w:rFonts w:asciiTheme="minorHAnsi" w:hAnsiTheme="minorHAnsi" w:cs="Times New Roman"/>
                <w:b/>
                <w:sz w:val="22"/>
                <w:szCs w:val="22"/>
              </w:rPr>
              <w:t>.</w:t>
            </w:r>
          </w:p>
        </w:tc>
        <w:tc>
          <w:tcPr>
            <w:tcW w:w="1872" w:type="dxa"/>
          </w:tcPr>
          <w:p w14:paraId="0FA0FD00" w14:textId="77777777" w:rsidR="007E7228" w:rsidRDefault="007E7228" w:rsidP="006808E9">
            <w:pPr>
              <w:pStyle w:val="PlainText"/>
              <w:jc w:val="center"/>
              <w:rPr>
                <w:rFonts w:asciiTheme="minorHAnsi" w:hAnsiTheme="minorHAnsi"/>
                <w:b/>
                <w:i/>
                <w:sz w:val="22"/>
                <w:szCs w:val="22"/>
              </w:rPr>
            </w:pPr>
            <w:r>
              <w:rPr>
                <w:rFonts w:asciiTheme="minorHAnsi" w:hAnsiTheme="minorHAnsi"/>
                <w:b/>
                <w:i/>
                <w:sz w:val="22"/>
                <w:szCs w:val="22"/>
              </w:rPr>
              <w:t>Internal controls</w:t>
            </w:r>
          </w:p>
          <w:p w14:paraId="2E169F2D" w14:textId="77777777" w:rsidR="007E7228" w:rsidRPr="00DD2917" w:rsidRDefault="007E7228" w:rsidP="006808E9">
            <w:pPr>
              <w:pStyle w:val="PlainText"/>
              <w:jc w:val="center"/>
              <w:rPr>
                <w:rFonts w:asciiTheme="minorHAnsi" w:hAnsiTheme="minorHAnsi"/>
                <w:b/>
                <w:i/>
                <w:sz w:val="12"/>
                <w:szCs w:val="12"/>
              </w:rPr>
            </w:pPr>
          </w:p>
          <w:p w14:paraId="34E54156" w14:textId="77777777" w:rsidR="007E7228" w:rsidRPr="003E2F73" w:rsidRDefault="007E7228" w:rsidP="00BC66F7">
            <w:pPr>
              <w:pStyle w:val="PlainText"/>
              <w:jc w:val="center"/>
              <w:rPr>
                <w:rFonts w:asciiTheme="minorHAnsi" w:hAnsiTheme="minorHAnsi" w:cs="Times New Roman"/>
                <w:b/>
                <w:i/>
                <w:sz w:val="22"/>
                <w:szCs w:val="22"/>
              </w:rPr>
            </w:pPr>
            <w:r>
              <w:rPr>
                <w:rFonts w:asciiTheme="minorHAnsi" w:hAnsiTheme="minorHAnsi" w:cs="Times New Roman"/>
                <w:b/>
                <w:i/>
                <w:sz w:val="22"/>
                <w:szCs w:val="22"/>
              </w:rPr>
              <w:t>(200.303)</w:t>
            </w:r>
          </w:p>
        </w:tc>
        <w:tc>
          <w:tcPr>
            <w:tcW w:w="12280" w:type="dxa"/>
          </w:tcPr>
          <w:p w14:paraId="60DDD8DC" w14:textId="4FF258D0" w:rsidR="009A1CEE" w:rsidRPr="004571C8" w:rsidRDefault="00920DC9" w:rsidP="00BC66F7">
            <w:pPr>
              <w:pStyle w:val="PlainText"/>
              <w:jc w:val="both"/>
              <w:rPr>
                <w:rFonts w:asciiTheme="minorHAnsi" w:hAnsiTheme="minorHAnsi"/>
                <w:sz w:val="22"/>
                <w:szCs w:val="22"/>
              </w:rPr>
            </w:pPr>
            <w:r w:rsidRPr="00767823">
              <w:rPr>
                <w:rFonts w:asciiTheme="minorHAnsi" w:hAnsiTheme="minorHAnsi"/>
                <w:sz w:val="22"/>
                <w:szCs w:val="22"/>
              </w:rPr>
              <w:t xml:space="preserve">There are five “musts” </w:t>
            </w:r>
            <w:r w:rsidR="003D3070" w:rsidRPr="00767823">
              <w:rPr>
                <w:rFonts w:asciiTheme="minorHAnsi" w:hAnsiTheme="minorHAnsi"/>
                <w:sz w:val="22"/>
                <w:szCs w:val="22"/>
              </w:rPr>
              <w:t xml:space="preserve"> and one “should” </w:t>
            </w:r>
            <w:r w:rsidRPr="00767823">
              <w:rPr>
                <w:rFonts w:asciiTheme="minorHAnsi" w:hAnsiTheme="minorHAnsi"/>
                <w:sz w:val="22"/>
                <w:szCs w:val="22"/>
              </w:rPr>
              <w:t xml:space="preserve">for non-Federal entities articulated in this section: </w:t>
            </w:r>
            <w:r w:rsidR="009A1CEE" w:rsidRPr="00767823">
              <w:rPr>
                <w:rFonts w:asciiTheme="minorHAnsi" w:hAnsiTheme="minorHAnsi"/>
                <w:sz w:val="22"/>
                <w:szCs w:val="22"/>
                <w:u w:val="single"/>
              </w:rPr>
              <w:t>must</w:t>
            </w:r>
            <w:r w:rsidR="009A1CEE" w:rsidRPr="00767823">
              <w:rPr>
                <w:rFonts w:asciiTheme="minorHAnsi" w:hAnsiTheme="minorHAnsi"/>
                <w:sz w:val="22"/>
                <w:szCs w:val="22"/>
              </w:rPr>
              <w:t xml:space="preserve"> establish and maintain effective internal control over Federal awards</w:t>
            </w:r>
            <w:r w:rsidR="00CD5EEC" w:rsidRPr="00767823">
              <w:rPr>
                <w:rFonts w:asciiTheme="minorHAnsi" w:hAnsiTheme="minorHAnsi"/>
                <w:sz w:val="22"/>
                <w:szCs w:val="22"/>
              </w:rPr>
              <w:t xml:space="preserve"> that provide reasonable assurance of managing in compliance with Federal rules and regulations</w:t>
            </w:r>
            <w:r w:rsidRPr="00767823">
              <w:rPr>
                <w:rFonts w:asciiTheme="minorHAnsi" w:hAnsiTheme="minorHAnsi"/>
                <w:sz w:val="22"/>
                <w:szCs w:val="22"/>
              </w:rPr>
              <w:t xml:space="preserve">; </w:t>
            </w:r>
            <w:r w:rsidR="003D3070" w:rsidRPr="00767823">
              <w:rPr>
                <w:rFonts w:asciiTheme="minorHAnsi" w:hAnsiTheme="minorHAnsi"/>
                <w:sz w:val="22"/>
                <w:szCs w:val="22"/>
                <w:u w:val="single"/>
              </w:rPr>
              <w:t>should</w:t>
            </w:r>
            <w:r w:rsidR="003D3070" w:rsidRPr="00767823">
              <w:rPr>
                <w:rFonts w:asciiTheme="minorHAnsi" w:hAnsiTheme="minorHAnsi"/>
                <w:sz w:val="22"/>
                <w:szCs w:val="22"/>
              </w:rPr>
              <w:t xml:space="preserve"> be in compliance </w:t>
            </w:r>
            <w:r w:rsidR="003D3070" w:rsidRPr="004571C8">
              <w:rPr>
                <w:rFonts w:asciiTheme="minorHAnsi" w:hAnsiTheme="minorHAnsi"/>
                <w:sz w:val="22"/>
                <w:szCs w:val="22"/>
              </w:rPr>
              <w:t xml:space="preserve">with guidance in </w:t>
            </w:r>
            <w:r w:rsidR="00EC4733" w:rsidRPr="004571C8">
              <w:rPr>
                <w:rFonts w:asciiTheme="minorHAnsi" w:hAnsiTheme="minorHAnsi" w:cs="Courier"/>
                <w:sz w:val="22"/>
                <w:szCs w:val="22"/>
              </w:rPr>
              <w:t>“Standards for Internal Control in the Federal Government” (i.e., the Green Book) issued by the Comptroller General of U.S. and the “Internal Control Integrated Framework”, issued by the COSO</w:t>
            </w:r>
            <w:r w:rsidR="003D3070" w:rsidRPr="004571C8">
              <w:rPr>
                <w:rFonts w:asciiTheme="minorHAnsi" w:hAnsiTheme="minorHAnsi"/>
                <w:sz w:val="22"/>
                <w:szCs w:val="22"/>
              </w:rPr>
              <w:t xml:space="preserve">; </w:t>
            </w:r>
            <w:r w:rsidRPr="004571C8">
              <w:rPr>
                <w:rFonts w:asciiTheme="minorHAnsi" w:hAnsiTheme="minorHAnsi"/>
                <w:sz w:val="22"/>
                <w:szCs w:val="22"/>
                <w:u w:val="single"/>
              </w:rPr>
              <w:t xml:space="preserve">must </w:t>
            </w:r>
            <w:r w:rsidRPr="004571C8">
              <w:rPr>
                <w:rFonts w:asciiTheme="minorHAnsi" w:hAnsiTheme="minorHAnsi"/>
                <w:sz w:val="22"/>
                <w:szCs w:val="22"/>
              </w:rPr>
              <w:t>comply with Federal statutes, regulations and terms and conditions of award</w:t>
            </w:r>
            <w:r w:rsidRPr="004571C8">
              <w:rPr>
                <w:rFonts w:asciiTheme="minorHAnsi" w:hAnsiTheme="minorHAnsi"/>
                <w:sz w:val="22"/>
                <w:szCs w:val="22"/>
                <w:u w:val="single"/>
              </w:rPr>
              <w:t>;</w:t>
            </w:r>
            <w:r w:rsidR="00CD5EEC" w:rsidRPr="004571C8">
              <w:rPr>
                <w:rFonts w:asciiTheme="minorHAnsi" w:hAnsiTheme="minorHAnsi"/>
                <w:sz w:val="22"/>
                <w:szCs w:val="22"/>
              </w:rPr>
              <w:t xml:space="preserve"> </w:t>
            </w:r>
            <w:r w:rsidR="00CD5EEC" w:rsidRPr="004571C8">
              <w:rPr>
                <w:rFonts w:asciiTheme="minorHAnsi" w:hAnsiTheme="minorHAnsi"/>
                <w:sz w:val="22"/>
                <w:szCs w:val="22"/>
                <w:u w:val="single"/>
              </w:rPr>
              <w:t>must</w:t>
            </w:r>
            <w:r w:rsidR="00CD5EEC" w:rsidRPr="004571C8">
              <w:rPr>
                <w:rFonts w:asciiTheme="minorHAnsi" w:hAnsiTheme="minorHAnsi"/>
                <w:sz w:val="22"/>
                <w:szCs w:val="22"/>
              </w:rPr>
              <w:t xml:space="preserve"> evaluate and monitor compliance</w:t>
            </w:r>
            <w:r w:rsidRPr="004571C8">
              <w:rPr>
                <w:rFonts w:asciiTheme="minorHAnsi" w:hAnsiTheme="minorHAnsi"/>
                <w:sz w:val="22"/>
                <w:szCs w:val="22"/>
              </w:rPr>
              <w:t>;</w:t>
            </w:r>
            <w:r w:rsidR="00CD5EEC" w:rsidRPr="004571C8">
              <w:rPr>
                <w:rFonts w:asciiTheme="minorHAnsi" w:hAnsiTheme="minorHAnsi"/>
                <w:sz w:val="22"/>
                <w:szCs w:val="22"/>
              </w:rPr>
              <w:t xml:space="preserve"> </w:t>
            </w:r>
            <w:r w:rsidR="00CD5EEC" w:rsidRPr="004571C8">
              <w:rPr>
                <w:rFonts w:asciiTheme="minorHAnsi" w:hAnsiTheme="minorHAnsi"/>
                <w:sz w:val="22"/>
                <w:szCs w:val="22"/>
                <w:u w:val="single"/>
              </w:rPr>
              <w:t xml:space="preserve">must </w:t>
            </w:r>
            <w:r w:rsidR="00CD5EEC" w:rsidRPr="004571C8">
              <w:rPr>
                <w:rFonts w:asciiTheme="minorHAnsi" w:hAnsiTheme="minorHAnsi"/>
                <w:sz w:val="22"/>
                <w:szCs w:val="22"/>
              </w:rPr>
              <w:t>take action on any instances of non-compliance</w:t>
            </w:r>
            <w:r w:rsidRPr="004571C8">
              <w:rPr>
                <w:rFonts w:asciiTheme="minorHAnsi" w:hAnsiTheme="minorHAnsi"/>
                <w:sz w:val="22"/>
                <w:szCs w:val="22"/>
              </w:rPr>
              <w:t>;</w:t>
            </w:r>
            <w:r w:rsidR="00CD5EEC" w:rsidRPr="004571C8">
              <w:rPr>
                <w:rFonts w:asciiTheme="minorHAnsi" w:hAnsiTheme="minorHAnsi"/>
                <w:sz w:val="22"/>
                <w:szCs w:val="22"/>
              </w:rPr>
              <w:t xml:space="preserve"> and</w:t>
            </w:r>
            <w:r w:rsidRPr="004571C8">
              <w:rPr>
                <w:rFonts w:asciiTheme="minorHAnsi" w:hAnsiTheme="minorHAnsi"/>
                <w:sz w:val="22"/>
                <w:szCs w:val="22"/>
              </w:rPr>
              <w:t>,</w:t>
            </w:r>
            <w:r w:rsidR="00CD5EEC" w:rsidRPr="004571C8">
              <w:rPr>
                <w:rFonts w:asciiTheme="minorHAnsi" w:hAnsiTheme="minorHAnsi"/>
                <w:sz w:val="22"/>
                <w:szCs w:val="22"/>
              </w:rPr>
              <w:t xml:space="preserve"> </w:t>
            </w:r>
            <w:r w:rsidR="00CD5EEC" w:rsidRPr="004571C8">
              <w:rPr>
                <w:rFonts w:asciiTheme="minorHAnsi" w:hAnsiTheme="minorHAnsi"/>
                <w:sz w:val="22"/>
                <w:szCs w:val="22"/>
                <w:u w:val="single"/>
              </w:rPr>
              <w:t>must</w:t>
            </w:r>
            <w:r w:rsidR="00CD5EEC" w:rsidRPr="004571C8">
              <w:rPr>
                <w:rFonts w:asciiTheme="minorHAnsi" w:hAnsiTheme="minorHAnsi"/>
                <w:sz w:val="22"/>
                <w:szCs w:val="22"/>
              </w:rPr>
              <w:t xml:space="preserve"> take reasonable measures to safeguard personally identifiable information any other designated sensitive</w:t>
            </w:r>
            <w:r w:rsidRPr="004571C8">
              <w:rPr>
                <w:rFonts w:asciiTheme="minorHAnsi" w:hAnsiTheme="minorHAnsi"/>
                <w:sz w:val="22"/>
                <w:szCs w:val="22"/>
              </w:rPr>
              <w:t xml:space="preserve"> information.</w:t>
            </w:r>
          </w:p>
          <w:p w14:paraId="6598BB1B" w14:textId="77777777" w:rsidR="00EC4733" w:rsidRPr="004571C8" w:rsidRDefault="00EC4733" w:rsidP="00BC66F7">
            <w:pPr>
              <w:pStyle w:val="PlainText"/>
              <w:jc w:val="both"/>
              <w:rPr>
                <w:rFonts w:asciiTheme="minorHAnsi" w:hAnsiTheme="minorHAnsi"/>
                <w:sz w:val="12"/>
                <w:szCs w:val="12"/>
              </w:rPr>
            </w:pPr>
          </w:p>
          <w:p w14:paraId="2F4EF1F2" w14:textId="2DA91433" w:rsidR="00EC4733" w:rsidRPr="004571C8" w:rsidRDefault="00EC4733" w:rsidP="00BC66F7">
            <w:pPr>
              <w:pStyle w:val="PlainText"/>
              <w:jc w:val="both"/>
              <w:rPr>
                <w:rFonts w:asciiTheme="minorHAnsi" w:hAnsiTheme="minorHAnsi"/>
                <w:sz w:val="22"/>
                <w:szCs w:val="22"/>
              </w:rPr>
            </w:pPr>
            <w:r w:rsidRPr="004571C8">
              <w:rPr>
                <w:rFonts w:asciiTheme="minorHAnsi" w:hAnsiTheme="minorHAnsi"/>
                <w:sz w:val="22"/>
                <w:szCs w:val="22"/>
              </w:rPr>
              <w:t>FAQ .303-2 clarifies the use of “must” and “should” in the UG. FAQ .303-3 specifies that it is not a requirement to strictly follow the Green Book and COSO.</w:t>
            </w:r>
          </w:p>
          <w:p w14:paraId="39D55500" w14:textId="77777777" w:rsidR="009A1CEE" w:rsidRPr="004571C8" w:rsidRDefault="009A1CEE" w:rsidP="00BC66F7">
            <w:pPr>
              <w:pStyle w:val="PlainText"/>
              <w:jc w:val="both"/>
              <w:rPr>
                <w:rFonts w:asciiTheme="minorHAnsi" w:hAnsiTheme="minorHAnsi"/>
                <w:sz w:val="22"/>
                <w:szCs w:val="22"/>
              </w:rPr>
            </w:pPr>
          </w:p>
          <w:p w14:paraId="61A9F40F" w14:textId="6925DA6F" w:rsidR="00EC4733" w:rsidRPr="00E258A1" w:rsidRDefault="00EC4733" w:rsidP="00EC4733">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CF59F9">
              <w:rPr>
                <w:rFonts w:asciiTheme="minorHAnsi" w:hAnsiTheme="minorHAnsi"/>
                <w:b/>
                <w:i/>
                <w:sz w:val="22"/>
                <w:szCs w:val="22"/>
              </w:rPr>
              <w:t>TO</w:t>
            </w:r>
            <w:r w:rsidRPr="00E258A1">
              <w:rPr>
                <w:rFonts w:asciiTheme="minorHAnsi" w:hAnsiTheme="minorHAnsi"/>
                <w:b/>
                <w:i/>
                <w:sz w:val="22"/>
                <w:szCs w:val="22"/>
              </w:rPr>
              <w:t xml:space="preserve"> CONSIDER:</w:t>
            </w:r>
          </w:p>
          <w:p w14:paraId="36C1633F" w14:textId="77777777" w:rsidR="00EC4733" w:rsidRPr="004571C8" w:rsidRDefault="00EC4733" w:rsidP="00BC66F7">
            <w:pPr>
              <w:pStyle w:val="PlainText"/>
              <w:jc w:val="both"/>
              <w:rPr>
                <w:rFonts w:asciiTheme="minorHAnsi" w:hAnsiTheme="minorHAnsi"/>
                <w:sz w:val="12"/>
                <w:szCs w:val="12"/>
              </w:rPr>
            </w:pPr>
          </w:p>
          <w:p w14:paraId="5A085EBA" w14:textId="4A53E979" w:rsidR="007E7228" w:rsidRDefault="007E7228" w:rsidP="004C28F6">
            <w:pPr>
              <w:pStyle w:val="PlainText"/>
              <w:numPr>
                <w:ilvl w:val="0"/>
                <w:numId w:val="42"/>
              </w:numPr>
              <w:jc w:val="both"/>
              <w:rPr>
                <w:rFonts w:asciiTheme="minorHAnsi" w:hAnsiTheme="minorHAnsi"/>
                <w:bCs/>
                <w:sz w:val="22"/>
                <w:szCs w:val="22"/>
              </w:rPr>
            </w:pPr>
            <w:r w:rsidRPr="00DD2917">
              <w:rPr>
                <w:rFonts w:asciiTheme="minorHAnsi" w:hAnsiTheme="minorHAnsi"/>
                <w:bCs/>
                <w:sz w:val="22"/>
                <w:szCs w:val="22"/>
              </w:rPr>
              <w:t xml:space="preserve">COGR’s view is that this section does not change the current obligation and responsibility </w:t>
            </w:r>
            <w:r>
              <w:rPr>
                <w:rFonts w:asciiTheme="minorHAnsi" w:hAnsiTheme="minorHAnsi"/>
                <w:bCs/>
                <w:sz w:val="22"/>
                <w:szCs w:val="22"/>
              </w:rPr>
              <w:t>for an institution to have a robust system of internal controls.</w:t>
            </w:r>
          </w:p>
          <w:p w14:paraId="4A12B26D" w14:textId="2379315E" w:rsidR="005730C7" w:rsidRPr="005730C7" w:rsidRDefault="005730C7" w:rsidP="004C28F6">
            <w:pPr>
              <w:pStyle w:val="PlainText"/>
              <w:numPr>
                <w:ilvl w:val="0"/>
                <w:numId w:val="42"/>
              </w:numPr>
              <w:jc w:val="both"/>
              <w:rPr>
                <w:rFonts w:asciiTheme="minorHAnsi" w:hAnsiTheme="minorHAnsi"/>
                <w:bCs/>
                <w:sz w:val="22"/>
                <w:szCs w:val="22"/>
              </w:rPr>
            </w:pPr>
            <w:r>
              <w:rPr>
                <w:rFonts w:asciiTheme="minorHAnsi" w:hAnsiTheme="minorHAnsi"/>
                <w:bCs/>
                <w:sz w:val="22"/>
                <w:szCs w:val="22"/>
              </w:rPr>
              <w:t xml:space="preserve">The Green Book and COSO </w:t>
            </w:r>
            <w:r w:rsidRPr="00CD73C2">
              <w:rPr>
                <w:rFonts w:asciiTheme="minorHAnsi" w:hAnsiTheme="minorHAnsi" w:cs="Courier"/>
                <w:sz w:val="22"/>
                <w:szCs w:val="22"/>
              </w:rPr>
              <w:t>can be utilized</w:t>
            </w:r>
            <w:r>
              <w:rPr>
                <w:rFonts w:asciiTheme="minorHAnsi" w:hAnsiTheme="minorHAnsi" w:cs="Courier"/>
                <w:sz w:val="22"/>
                <w:szCs w:val="22"/>
              </w:rPr>
              <w:t>, but are not required, to assess compliance</w:t>
            </w:r>
            <w:r w:rsidRPr="00CD73C2">
              <w:rPr>
                <w:rFonts w:asciiTheme="minorHAnsi" w:hAnsiTheme="minorHAnsi" w:cs="Courier"/>
                <w:sz w:val="22"/>
                <w:szCs w:val="22"/>
              </w:rPr>
              <w:t xml:space="preserve">. </w:t>
            </w:r>
            <w:r>
              <w:rPr>
                <w:rFonts w:asciiTheme="minorHAnsi" w:hAnsiTheme="minorHAnsi" w:cs="Courier"/>
                <w:sz w:val="22"/>
                <w:szCs w:val="22"/>
              </w:rPr>
              <w:t xml:space="preserve">COFAR </w:t>
            </w:r>
            <w:r w:rsidRPr="00CD73C2">
              <w:rPr>
                <w:rFonts w:asciiTheme="minorHAnsi" w:hAnsiTheme="minorHAnsi"/>
                <w:sz w:val="22"/>
                <w:szCs w:val="22"/>
              </w:rPr>
              <w:t>FAQ</w:t>
            </w:r>
            <w:r>
              <w:rPr>
                <w:rFonts w:asciiTheme="minorHAnsi" w:hAnsiTheme="minorHAnsi"/>
                <w:sz w:val="22"/>
                <w:szCs w:val="22"/>
              </w:rPr>
              <w:t>s</w:t>
            </w:r>
            <w:r w:rsidRPr="00CD73C2">
              <w:rPr>
                <w:rFonts w:asciiTheme="minorHAnsi" w:hAnsiTheme="minorHAnsi"/>
                <w:sz w:val="22"/>
                <w:szCs w:val="22"/>
              </w:rPr>
              <w:t xml:space="preserve"> .303-2 </w:t>
            </w:r>
            <w:r>
              <w:rPr>
                <w:rFonts w:asciiTheme="minorHAnsi" w:hAnsiTheme="minorHAnsi"/>
                <w:sz w:val="22"/>
                <w:szCs w:val="22"/>
              </w:rPr>
              <w:t>and .303-3 support this.</w:t>
            </w:r>
          </w:p>
          <w:p w14:paraId="7B67A528" w14:textId="0D1E9AFC" w:rsidR="005730C7" w:rsidRDefault="005730C7" w:rsidP="004C28F6">
            <w:pPr>
              <w:pStyle w:val="PlainText"/>
              <w:numPr>
                <w:ilvl w:val="0"/>
                <w:numId w:val="42"/>
              </w:numPr>
              <w:jc w:val="both"/>
              <w:rPr>
                <w:rFonts w:asciiTheme="minorHAnsi" w:hAnsiTheme="minorHAnsi"/>
                <w:bCs/>
                <w:sz w:val="22"/>
                <w:szCs w:val="22"/>
              </w:rPr>
            </w:pPr>
            <w:r>
              <w:rPr>
                <w:rFonts w:asciiTheme="minorHAnsi" w:hAnsiTheme="minorHAnsi"/>
                <w:bCs/>
                <w:sz w:val="22"/>
                <w:szCs w:val="22"/>
              </w:rPr>
              <w:t>R</w:t>
            </w:r>
            <w:r w:rsidRPr="00DD2917">
              <w:rPr>
                <w:rFonts w:asciiTheme="minorHAnsi" w:hAnsiTheme="minorHAnsi"/>
                <w:bCs/>
                <w:sz w:val="22"/>
                <w:szCs w:val="22"/>
              </w:rPr>
              <w:t xml:space="preserve">eview </w:t>
            </w:r>
            <w:r>
              <w:rPr>
                <w:rFonts w:asciiTheme="minorHAnsi" w:hAnsiTheme="minorHAnsi"/>
                <w:bCs/>
                <w:sz w:val="22"/>
                <w:szCs w:val="22"/>
              </w:rPr>
              <w:t>your current internal control infrastructure, with a special focus on areas that changed due to the Uniform Guidance.  Ensure controls are documented adequately.</w:t>
            </w:r>
          </w:p>
          <w:p w14:paraId="2681D295" w14:textId="77777777" w:rsidR="007E7228" w:rsidRPr="00BC66F7" w:rsidRDefault="007E7228" w:rsidP="00BC66F7">
            <w:pPr>
              <w:pStyle w:val="PlainText"/>
              <w:jc w:val="both"/>
              <w:rPr>
                <w:rFonts w:asciiTheme="minorHAnsi" w:hAnsiTheme="minorHAnsi"/>
                <w:bCs/>
                <w:sz w:val="12"/>
                <w:szCs w:val="12"/>
              </w:rPr>
            </w:pPr>
          </w:p>
          <w:p w14:paraId="7148FAA5" w14:textId="77777777" w:rsidR="007E7228" w:rsidRPr="00CD73C2" w:rsidRDefault="007E7228" w:rsidP="00AC6C00">
            <w:pPr>
              <w:pStyle w:val="PlainText"/>
              <w:jc w:val="both"/>
              <w:rPr>
                <w:rFonts w:asciiTheme="minorHAnsi" w:hAnsiTheme="minorHAnsi"/>
                <w:bCs/>
                <w:sz w:val="12"/>
                <w:szCs w:val="12"/>
              </w:rPr>
            </w:pPr>
          </w:p>
        </w:tc>
      </w:tr>
      <w:tr w:rsidR="009A51C2" w:rsidRPr="00A116C4" w14:paraId="4713C7DE" w14:textId="77777777" w:rsidTr="000D538B">
        <w:trPr>
          <w:trHeight w:val="432"/>
        </w:trPr>
        <w:tc>
          <w:tcPr>
            <w:tcW w:w="518" w:type="dxa"/>
          </w:tcPr>
          <w:p w14:paraId="071B69EE" w14:textId="4875F8AA" w:rsidR="009A51C2" w:rsidRDefault="009A51C2" w:rsidP="00BC66F7">
            <w:pPr>
              <w:pStyle w:val="PlainText"/>
              <w:jc w:val="center"/>
              <w:rPr>
                <w:b/>
              </w:rPr>
            </w:pPr>
            <w:r>
              <w:rPr>
                <w:b/>
              </w:rPr>
              <w:lastRenderedPageBreak/>
              <w:br w:type="page"/>
              <w:t>5</w:t>
            </w:r>
            <w:r>
              <w:rPr>
                <w:rFonts w:asciiTheme="minorHAnsi" w:hAnsiTheme="minorHAnsi" w:cs="Times New Roman"/>
                <w:b/>
                <w:sz w:val="22"/>
                <w:szCs w:val="22"/>
              </w:rPr>
              <w:t>.</w:t>
            </w:r>
          </w:p>
        </w:tc>
        <w:tc>
          <w:tcPr>
            <w:tcW w:w="1872" w:type="dxa"/>
          </w:tcPr>
          <w:p w14:paraId="062C3762" w14:textId="2C4207F4" w:rsidR="009A51C2" w:rsidRDefault="009A51C2" w:rsidP="00B57FF8">
            <w:pPr>
              <w:pStyle w:val="PlainText"/>
              <w:jc w:val="center"/>
              <w:rPr>
                <w:rFonts w:asciiTheme="minorHAnsi" w:hAnsiTheme="minorHAnsi"/>
                <w:b/>
                <w:i/>
                <w:sz w:val="22"/>
                <w:szCs w:val="22"/>
              </w:rPr>
            </w:pPr>
            <w:r>
              <w:rPr>
                <w:rFonts w:asciiTheme="minorHAnsi" w:hAnsiTheme="minorHAnsi"/>
                <w:b/>
                <w:i/>
                <w:sz w:val="22"/>
                <w:szCs w:val="22"/>
              </w:rPr>
              <w:t>Research Terms and Conditions</w:t>
            </w:r>
          </w:p>
          <w:p w14:paraId="695565B8" w14:textId="77777777" w:rsidR="009A51C2" w:rsidRPr="00DD2917" w:rsidRDefault="009A51C2" w:rsidP="00B57FF8">
            <w:pPr>
              <w:pStyle w:val="PlainText"/>
              <w:jc w:val="center"/>
              <w:rPr>
                <w:rFonts w:asciiTheme="minorHAnsi" w:hAnsiTheme="minorHAnsi"/>
                <w:b/>
                <w:i/>
                <w:sz w:val="12"/>
                <w:szCs w:val="12"/>
              </w:rPr>
            </w:pPr>
          </w:p>
          <w:p w14:paraId="41BB74DA" w14:textId="7D12C18A" w:rsidR="009A51C2" w:rsidRDefault="009A51C2" w:rsidP="00C11041">
            <w:pPr>
              <w:pStyle w:val="PlainText"/>
              <w:jc w:val="center"/>
              <w:rPr>
                <w:rFonts w:asciiTheme="minorHAnsi" w:hAnsiTheme="minorHAnsi"/>
                <w:b/>
                <w:i/>
                <w:sz w:val="22"/>
                <w:szCs w:val="22"/>
              </w:rPr>
            </w:pPr>
            <w:r>
              <w:rPr>
                <w:rFonts w:asciiTheme="minorHAnsi" w:hAnsiTheme="minorHAnsi" w:cs="Times New Roman"/>
                <w:b/>
                <w:i/>
                <w:sz w:val="22"/>
                <w:szCs w:val="22"/>
              </w:rPr>
              <w:t>(200.</w:t>
            </w:r>
            <w:r w:rsidR="00C11041">
              <w:rPr>
                <w:rFonts w:asciiTheme="minorHAnsi" w:hAnsiTheme="minorHAnsi" w:cs="Times New Roman"/>
                <w:b/>
                <w:i/>
                <w:sz w:val="22"/>
                <w:szCs w:val="22"/>
              </w:rPr>
              <w:t>210</w:t>
            </w:r>
            <w:r>
              <w:rPr>
                <w:rFonts w:asciiTheme="minorHAnsi" w:hAnsiTheme="minorHAnsi" w:cs="Times New Roman"/>
                <w:b/>
                <w:i/>
                <w:sz w:val="22"/>
                <w:szCs w:val="22"/>
              </w:rPr>
              <w:t>)</w:t>
            </w:r>
          </w:p>
        </w:tc>
        <w:tc>
          <w:tcPr>
            <w:tcW w:w="12280" w:type="dxa"/>
          </w:tcPr>
          <w:p w14:paraId="30F38E31" w14:textId="18F2AC74" w:rsidR="00C11041" w:rsidRDefault="00C11041" w:rsidP="009A51C2">
            <w:pPr>
              <w:jc w:val="both"/>
              <w:rPr>
                <w:rFonts w:ascii="Calibri" w:hAnsi="Calibri"/>
                <w:b w:val="0"/>
                <w:sz w:val="22"/>
                <w:szCs w:val="22"/>
              </w:rPr>
            </w:pPr>
            <w:r>
              <w:rPr>
                <w:rFonts w:ascii="Calibri" w:hAnsi="Calibri"/>
                <w:b w:val="0"/>
                <w:sz w:val="22"/>
                <w:szCs w:val="22"/>
              </w:rPr>
              <w:t xml:space="preserve">200.210(b) </w:t>
            </w:r>
            <w:r>
              <w:rPr>
                <w:rFonts w:asciiTheme="minorHAnsi" w:eastAsiaTheme="minorHAnsi" w:hAnsiTheme="minorHAnsi" w:cs="Courier"/>
                <w:b w:val="0"/>
                <w:sz w:val="22"/>
                <w:szCs w:val="22"/>
              </w:rPr>
              <w:t>states that F</w:t>
            </w:r>
            <w:r w:rsidRPr="0096588D">
              <w:rPr>
                <w:rFonts w:asciiTheme="minorHAnsi" w:eastAsiaTheme="minorHAnsi" w:hAnsiTheme="minorHAnsi" w:cs="Courier"/>
                <w:b w:val="0"/>
                <w:sz w:val="22"/>
                <w:szCs w:val="22"/>
              </w:rPr>
              <w:t>ederal awarding agencies must incorporate general terms and conditions either in the Federal award or by</w:t>
            </w:r>
            <w:r>
              <w:rPr>
                <w:rFonts w:asciiTheme="minorHAnsi" w:eastAsiaTheme="minorHAnsi" w:hAnsiTheme="minorHAnsi" w:cs="Courier"/>
                <w:b w:val="0"/>
                <w:sz w:val="22"/>
                <w:szCs w:val="22"/>
              </w:rPr>
              <w:t xml:space="preserve"> </w:t>
            </w:r>
            <w:r w:rsidRPr="0096588D">
              <w:rPr>
                <w:rFonts w:asciiTheme="minorHAnsi" w:eastAsiaTheme="minorHAnsi" w:hAnsiTheme="minorHAnsi" w:cs="Courier"/>
                <w:b w:val="0"/>
                <w:sz w:val="22"/>
                <w:szCs w:val="22"/>
              </w:rPr>
              <w:t>reference</w:t>
            </w:r>
            <w:r>
              <w:rPr>
                <w:rFonts w:asciiTheme="minorHAnsi" w:eastAsiaTheme="minorHAnsi" w:hAnsiTheme="minorHAnsi" w:cs="Courier"/>
                <w:b w:val="0"/>
                <w:sz w:val="22"/>
                <w:szCs w:val="22"/>
              </w:rPr>
              <w:t>. However, long-practiced Research Terms and Conditions</w:t>
            </w:r>
            <w:r w:rsidR="009E3F33">
              <w:rPr>
                <w:rFonts w:asciiTheme="minorHAnsi" w:eastAsiaTheme="minorHAnsi" w:hAnsiTheme="minorHAnsi" w:cs="Courier"/>
                <w:b w:val="0"/>
                <w:sz w:val="22"/>
                <w:szCs w:val="22"/>
              </w:rPr>
              <w:t xml:space="preserve"> are not addressed</w:t>
            </w:r>
            <w:r w:rsidR="001C7E5D">
              <w:rPr>
                <w:rFonts w:asciiTheme="minorHAnsi" w:eastAsiaTheme="minorHAnsi" w:hAnsiTheme="minorHAnsi" w:cs="Courier"/>
                <w:b w:val="0"/>
                <w:sz w:val="22"/>
                <w:szCs w:val="22"/>
              </w:rPr>
              <w:t xml:space="preserve"> in this section</w:t>
            </w:r>
            <w:r w:rsidR="009E3F33">
              <w:rPr>
                <w:rFonts w:asciiTheme="minorHAnsi" w:eastAsiaTheme="minorHAnsi" w:hAnsiTheme="minorHAnsi" w:cs="Courier"/>
                <w:b w:val="0"/>
                <w:sz w:val="22"/>
                <w:szCs w:val="22"/>
              </w:rPr>
              <w:t>.</w:t>
            </w:r>
          </w:p>
          <w:p w14:paraId="0AA2C77F" w14:textId="77777777" w:rsidR="00C11041" w:rsidRDefault="00C11041" w:rsidP="009A51C2">
            <w:pPr>
              <w:jc w:val="both"/>
              <w:rPr>
                <w:rFonts w:ascii="Calibri" w:hAnsi="Calibri"/>
                <w:b w:val="0"/>
                <w:sz w:val="22"/>
                <w:szCs w:val="22"/>
              </w:rPr>
            </w:pPr>
          </w:p>
          <w:p w14:paraId="36149007" w14:textId="3CD83969" w:rsidR="001C7E5D" w:rsidRPr="00E258A1" w:rsidRDefault="001C7E5D" w:rsidP="001C7E5D">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CF59F9">
              <w:rPr>
                <w:rFonts w:asciiTheme="minorHAnsi" w:hAnsiTheme="minorHAnsi"/>
                <w:b/>
                <w:i/>
                <w:sz w:val="22"/>
                <w:szCs w:val="22"/>
              </w:rPr>
              <w:t>TO</w:t>
            </w:r>
            <w:r w:rsidRPr="00E258A1">
              <w:rPr>
                <w:rFonts w:asciiTheme="minorHAnsi" w:hAnsiTheme="minorHAnsi"/>
                <w:b/>
                <w:i/>
                <w:sz w:val="22"/>
                <w:szCs w:val="22"/>
              </w:rPr>
              <w:t xml:space="preserve"> CONSIDER:</w:t>
            </w:r>
          </w:p>
          <w:p w14:paraId="4DE62B24" w14:textId="77777777" w:rsidR="001C7E5D" w:rsidRPr="00CF59F9" w:rsidRDefault="001C7E5D" w:rsidP="001C7E5D">
            <w:pPr>
              <w:jc w:val="both"/>
              <w:rPr>
                <w:rFonts w:ascii="Calibri" w:hAnsi="Calibri"/>
                <w:b w:val="0"/>
                <w:sz w:val="12"/>
                <w:szCs w:val="12"/>
              </w:rPr>
            </w:pPr>
          </w:p>
          <w:p w14:paraId="5F9E6A18" w14:textId="77777777" w:rsidR="00F23B03" w:rsidRPr="00F23B03" w:rsidRDefault="001C7E5D" w:rsidP="004C28F6">
            <w:pPr>
              <w:pStyle w:val="PlainText"/>
              <w:numPr>
                <w:ilvl w:val="0"/>
                <w:numId w:val="6"/>
              </w:numPr>
              <w:jc w:val="both"/>
              <w:rPr>
                <w:rFonts w:asciiTheme="minorHAnsi" w:hAnsiTheme="minorHAnsi"/>
                <w:sz w:val="22"/>
                <w:szCs w:val="22"/>
              </w:rPr>
            </w:pPr>
            <w:r w:rsidRPr="00F23B03">
              <w:rPr>
                <w:rFonts w:asciiTheme="minorHAnsi" w:hAnsiTheme="minorHAnsi"/>
                <w:sz w:val="22"/>
                <w:szCs w:val="22"/>
              </w:rPr>
              <w:t xml:space="preserve">Research Terms and Conditions, previously applicable by reference to OMB Circular A-110 (2CFR Part 215), </w:t>
            </w:r>
            <w:r w:rsidR="00F23B03" w:rsidRPr="00F23B03">
              <w:rPr>
                <w:rFonts w:asciiTheme="minorHAnsi" w:hAnsiTheme="minorHAnsi"/>
                <w:sz w:val="22"/>
                <w:szCs w:val="22"/>
              </w:rPr>
              <w:t xml:space="preserve">will not be applicable </w:t>
            </w:r>
            <w:r w:rsidR="00F23B03" w:rsidRPr="00F91B6A">
              <w:rPr>
                <w:rFonts w:asciiTheme="minorHAnsi" w:hAnsiTheme="minorHAnsi"/>
                <w:sz w:val="22"/>
                <w:szCs w:val="22"/>
              </w:rPr>
              <w:t>to re</w:t>
            </w:r>
            <w:r w:rsidRPr="00F91B6A">
              <w:rPr>
                <w:rFonts w:ascii="Calibri" w:hAnsi="Calibri"/>
                <w:sz w:val="22"/>
                <w:szCs w:val="22"/>
              </w:rPr>
              <w:t>search awards issued after 12/26/14</w:t>
            </w:r>
            <w:r w:rsidR="00F23B03" w:rsidRPr="0025060E">
              <w:rPr>
                <w:rFonts w:ascii="Calibri" w:hAnsi="Calibri"/>
                <w:sz w:val="22"/>
                <w:szCs w:val="22"/>
              </w:rPr>
              <w:t>.</w:t>
            </w:r>
          </w:p>
          <w:p w14:paraId="4DDA2E5F" w14:textId="1743B7E3" w:rsidR="001C7E5D" w:rsidRPr="00FE31B3" w:rsidRDefault="001C7E5D" w:rsidP="004C28F6">
            <w:pPr>
              <w:pStyle w:val="PlainText"/>
              <w:numPr>
                <w:ilvl w:val="0"/>
                <w:numId w:val="6"/>
              </w:numPr>
              <w:jc w:val="both"/>
              <w:rPr>
                <w:rFonts w:asciiTheme="minorHAnsi" w:hAnsiTheme="minorHAnsi"/>
                <w:sz w:val="22"/>
                <w:szCs w:val="22"/>
              </w:rPr>
            </w:pPr>
            <w:r w:rsidRPr="00F23B03">
              <w:rPr>
                <w:rFonts w:asciiTheme="minorHAnsi" w:hAnsiTheme="minorHAnsi" w:cs="Courier"/>
                <w:sz w:val="22"/>
                <w:szCs w:val="22"/>
              </w:rPr>
              <w:t xml:space="preserve">Until new Research Terms and conditions are </w:t>
            </w:r>
            <w:r w:rsidR="001A4799" w:rsidRPr="00F23B03">
              <w:rPr>
                <w:rFonts w:asciiTheme="minorHAnsi" w:hAnsiTheme="minorHAnsi" w:cs="Courier"/>
                <w:sz w:val="22"/>
                <w:szCs w:val="22"/>
              </w:rPr>
              <w:t>available</w:t>
            </w:r>
            <w:r w:rsidRPr="00F23B03">
              <w:rPr>
                <w:rFonts w:asciiTheme="minorHAnsi" w:hAnsiTheme="minorHAnsi" w:cs="Courier"/>
                <w:sz w:val="22"/>
                <w:szCs w:val="22"/>
              </w:rPr>
              <w:t xml:space="preserve">, Federal awarding agencies </w:t>
            </w:r>
            <w:r w:rsidR="00CF59F9">
              <w:rPr>
                <w:rFonts w:asciiTheme="minorHAnsi" w:hAnsiTheme="minorHAnsi" w:cs="Courier"/>
                <w:sz w:val="22"/>
                <w:szCs w:val="22"/>
              </w:rPr>
              <w:t>may</w:t>
            </w:r>
            <w:r w:rsidR="00F23B03" w:rsidRPr="00F23B03">
              <w:rPr>
                <w:rFonts w:asciiTheme="minorHAnsi" w:hAnsiTheme="minorHAnsi" w:cs="Courier"/>
                <w:sz w:val="22"/>
                <w:szCs w:val="22"/>
              </w:rPr>
              <w:t xml:space="preserve"> </w:t>
            </w:r>
            <w:r w:rsidRPr="00F23B03">
              <w:rPr>
                <w:rFonts w:asciiTheme="minorHAnsi" w:hAnsiTheme="minorHAnsi" w:cs="Courier"/>
                <w:sz w:val="22"/>
                <w:szCs w:val="22"/>
              </w:rPr>
              <w:t>incorporate general terms and conditions either in the Federal award or by reference</w:t>
            </w:r>
            <w:r w:rsidRPr="00F23B03">
              <w:rPr>
                <w:rFonts w:asciiTheme="minorHAnsi" w:hAnsiTheme="minorHAnsi"/>
                <w:sz w:val="22"/>
                <w:szCs w:val="22"/>
              </w:rPr>
              <w:t>.</w:t>
            </w:r>
            <w:r w:rsidR="00F23B03" w:rsidRPr="00F23B03">
              <w:rPr>
                <w:rFonts w:asciiTheme="minorHAnsi" w:hAnsiTheme="minorHAnsi"/>
                <w:sz w:val="22"/>
                <w:szCs w:val="22"/>
              </w:rPr>
              <w:t xml:space="preserve"> These a</w:t>
            </w:r>
            <w:r w:rsidR="00F23B03" w:rsidRPr="00F23B03">
              <w:rPr>
                <w:rFonts w:ascii="Calibri" w:hAnsi="Calibri"/>
                <w:sz w:val="22"/>
                <w:szCs w:val="22"/>
              </w:rPr>
              <w:t xml:space="preserve">wards issued may include varying prior approval requirements, either in the award </w:t>
            </w:r>
            <w:r w:rsidR="00F23B03" w:rsidRPr="00FE31B3">
              <w:rPr>
                <w:rFonts w:ascii="Calibri" w:hAnsi="Calibri"/>
                <w:sz w:val="22"/>
                <w:szCs w:val="22"/>
              </w:rPr>
              <w:t>agreement or in the agency’s implementation of the UG.</w:t>
            </w:r>
          </w:p>
          <w:p w14:paraId="2B009DB3" w14:textId="62431636" w:rsidR="001C7E5D" w:rsidRPr="00FE31B3" w:rsidRDefault="00F23B03" w:rsidP="004C28F6">
            <w:pPr>
              <w:pStyle w:val="PlainText"/>
              <w:numPr>
                <w:ilvl w:val="0"/>
                <w:numId w:val="6"/>
              </w:numPr>
              <w:jc w:val="both"/>
              <w:rPr>
                <w:rFonts w:asciiTheme="minorHAnsi" w:hAnsiTheme="minorHAnsi"/>
                <w:sz w:val="22"/>
                <w:szCs w:val="22"/>
              </w:rPr>
            </w:pPr>
            <w:r w:rsidRPr="00FE31B3">
              <w:rPr>
                <w:rFonts w:asciiTheme="minorHAnsi" w:hAnsiTheme="minorHAnsi"/>
                <w:sz w:val="22"/>
                <w:szCs w:val="22"/>
              </w:rPr>
              <w:t xml:space="preserve">Work closely with </w:t>
            </w:r>
            <w:r w:rsidR="00E55291" w:rsidRPr="00FE31B3">
              <w:rPr>
                <w:rFonts w:asciiTheme="minorHAnsi" w:hAnsiTheme="minorHAnsi"/>
                <w:sz w:val="22"/>
                <w:szCs w:val="22"/>
              </w:rPr>
              <w:t>Federal</w:t>
            </w:r>
            <w:r w:rsidRPr="00FE31B3">
              <w:rPr>
                <w:rFonts w:asciiTheme="minorHAnsi" w:hAnsiTheme="minorHAnsi"/>
                <w:sz w:val="22"/>
                <w:szCs w:val="22"/>
              </w:rPr>
              <w:t xml:space="preserve"> officials to confirm the applicable terms and conditions for new awards.</w:t>
            </w:r>
          </w:p>
          <w:p w14:paraId="18E3074C" w14:textId="54E481ED" w:rsidR="00F23B03" w:rsidRPr="00FE31B3" w:rsidRDefault="00F23B03" w:rsidP="004C28F6">
            <w:pPr>
              <w:pStyle w:val="PlainText"/>
              <w:numPr>
                <w:ilvl w:val="0"/>
                <w:numId w:val="6"/>
              </w:numPr>
              <w:jc w:val="both"/>
              <w:rPr>
                <w:rFonts w:asciiTheme="minorHAnsi" w:hAnsiTheme="minorHAnsi"/>
                <w:sz w:val="22"/>
                <w:szCs w:val="22"/>
              </w:rPr>
            </w:pPr>
            <w:r w:rsidRPr="00FE31B3">
              <w:rPr>
                <w:rFonts w:ascii="Calibri" w:hAnsi="Calibri"/>
                <w:sz w:val="22"/>
                <w:szCs w:val="22"/>
              </w:rPr>
              <w:t xml:space="preserve">Updated Research Terms and Conditions applicable to awards subject to the UG are in development and may be </w:t>
            </w:r>
            <w:r w:rsidR="001A4799" w:rsidRPr="00FE31B3">
              <w:rPr>
                <w:rFonts w:ascii="Calibri" w:hAnsi="Calibri"/>
                <w:sz w:val="22"/>
                <w:szCs w:val="22"/>
              </w:rPr>
              <w:t>available</w:t>
            </w:r>
            <w:r w:rsidRPr="00FE31B3">
              <w:rPr>
                <w:rFonts w:ascii="Calibri" w:hAnsi="Calibri"/>
                <w:sz w:val="22"/>
                <w:szCs w:val="22"/>
              </w:rPr>
              <w:t xml:space="preserve"> soon.</w:t>
            </w:r>
          </w:p>
          <w:p w14:paraId="1BF22EAC" w14:textId="017F8C43" w:rsidR="00CF59F9" w:rsidRPr="00FE31B3" w:rsidRDefault="00CF59F9" w:rsidP="004C28F6">
            <w:pPr>
              <w:pStyle w:val="PlainText"/>
              <w:numPr>
                <w:ilvl w:val="0"/>
                <w:numId w:val="6"/>
              </w:numPr>
              <w:jc w:val="both"/>
              <w:rPr>
                <w:rFonts w:asciiTheme="minorHAnsi" w:hAnsiTheme="minorHAnsi"/>
                <w:b/>
                <w:sz w:val="22"/>
                <w:szCs w:val="22"/>
                <w:u w:val="single"/>
              </w:rPr>
            </w:pPr>
            <w:r w:rsidRPr="00FE31B3">
              <w:rPr>
                <w:rFonts w:ascii="Calibri" w:hAnsi="Calibri"/>
                <w:b/>
                <w:sz w:val="22"/>
                <w:szCs w:val="22"/>
                <w:u w:val="single"/>
              </w:rPr>
              <w:t>CURRENTLY UNDER REVIEW:</w:t>
            </w:r>
            <w:r w:rsidRPr="00FE31B3">
              <w:rPr>
                <w:rFonts w:ascii="Calibri" w:hAnsi="Calibri"/>
                <w:sz w:val="22"/>
                <w:szCs w:val="22"/>
              </w:rPr>
              <w:t xml:space="preserve"> Upon release of updated Research Terms and Conditions, OMB and Federal agencies are considering a policy that would allow the updated Research Terms and Conditions to be applied retroactively to research awards issued after 12/26/14</w:t>
            </w:r>
            <w:r w:rsidR="00FE31B3">
              <w:rPr>
                <w:rFonts w:ascii="Calibri" w:hAnsi="Calibri"/>
                <w:sz w:val="22"/>
                <w:szCs w:val="22"/>
              </w:rPr>
              <w:t>,</w:t>
            </w:r>
            <w:r w:rsidRPr="00FE31B3">
              <w:rPr>
                <w:rFonts w:ascii="Calibri" w:hAnsi="Calibri"/>
                <w:sz w:val="22"/>
                <w:szCs w:val="22"/>
              </w:rPr>
              <w:t xml:space="preserve"> </w:t>
            </w:r>
            <w:r w:rsidR="00FE31B3" w:rsidRPr="00FE31B3">
              <w:rPr>
                <w:rFonts w:ascii="Calibri" w:hAnsi="Calibri"/>
                <w:sz w:val="22"/>
                <w:szCs w:val="22"/>
              </w:rPr>
              <w:t xml:space="preserve">if </w:t>
            </w:r>
            <w:r w:rsidRPr="00FE31B3">
              <w:rPr>
                <w:rFonts w:ascii="Calibri" w:hAnsi="Calibri"/>
                <w:sz w:val="22"/>
                <w:szCs w:val="22"/>
              </w:rPr>
              <w:t>updated Research Terms and Conditions were not yet available</w:t>
            </w:r>
            <w:r w:rsidR="00FE31B3" w:rsidRPr="00FE31B3">
              <w:rPr>
                <w:rFonts w:ascii="Calibri" w:hAnsi="Calibri"/>
                <w:sz w:val="22"/>
                <w:szCs w:val="22"/>
              </w:rPr>
              <w:t>.</w:t>
            </w:r>
            <w:r w:rsidRPr="00FE31B3">
              <w:rPr>
                <w:rFonts w:ascii="Calibri" w:hAnsi="Calibri"/>
                <w:sz w:val="22"/>
                <w:szCs w:val="22"/>
              </w:rPr>
              <w:t xml:space="preserve"> </w:t>
            </w:r>
            <w:r w:rsidRPr="00FE31B3">
              <w:rPr>
                <w:rFonts w:ascii="Calibri" w:hAnsi="Calibri"/>
                <w:b/>
                <w:sz w:val="22"/>
                <w:szCs w:val="22"/>
                <w:u w:val="single"/>
              </w:rPr>
              <w:t>Pay close attention to new developments related to the release of updated Research Terms and Conditions.</w:t>
            </w:r>
          </w:p>
          <w:p w14:paraId="4F7E9B2C" w14:textId="5627BE37" w:rsidR="009A51C2" w:rsidRPr="007E7228" w:rsidRDefault="009A51C2" w:rsidP="009E3F33">
            <w:pPr>
              <w:pStyle w:val="TableContents"/>
              <w:jc w:val="both"/>
              <w:rPr>
                <w:rFonts w:asciiTheme="minorHAnsi" w:hAnsiTheme="minorHAnsi"/>
                <w:sz w:val="22"/>
                <w:szCs w:val="22"/>
                <w:highlight w:val="yellow"/>
              </w:rPr>
            </w:pPr>
          </w:p>
        </w:tc>
      </w:tr>
    </w:tbl>
    <w:p w14:paraId="5C1CAAF7" w14:textId="5B58FA53" w:rsidR="00CF6CF8" w:rsidRDefault="00CF6CF8" w:rsidP="008012EE">
      <w:pPr>
        <w:pStyle w:val="PlainText"/>
        <w:jc w:val="both"/>
        <w:rPr>
          <w:rFonts w:asciiTheme="minorHAnsi" w:hAnsiTheme="minorHAnsi" w:cs="Times New Roman"/>
          <w:sz w:val="22"/>
          <w:szCs w:val="22"/>
        </w:rPr>
      </w:pPr>
    </w:p>
    <w:p w14:paraId="52D7B84C" w14:textId="77777777" w:rsidR="00EC4626" w:rsidRDefault="00EC4626" w:rsidP="008012EE">
      <w:pPr>
        <w:pStyle w:val="PlainText"/>
        <w:jc w:val="both"/>
        <w:rPr>
          <w:rFonts w:asciiTheme="minorHAnsi" w:hAnsiTheme="minorHAnsi" w:cs="Times New Roman"/>
          <w:sz w:val="22"/>
          <w:szCs w:val="22"/>
        </w:rPr>
      </w:pPr>
    </w:p>
    <w:p w14:paraId="38C60B09" w14:textId="77777777" w:rsidR="00EC4626" w:rsidRDefault="00EC4626" w:rsidP="008012EE">
      <w:pPr>
        <w:pStyle w:val="PlainText"/>
        <w:jc w:val="both"/>
        <w:rPr>
          <w:rFonts w:asciiTheme="minorHAnsi" w:hAnsiTheme="minorHAnsi" w:cs="Times New Roman"/>
          <w:sz w:val="22"/>
          <w:szCs w:val="22"/>
        </w:rPr>
      </w:pPr>
    </w:p>
    <w:p w14:paraId="20A2206D" w14:textId="77777777" w:rsidR="00EE2F50" w:rsidRDefault="00EE2F50">
      <w:pPr>
        <w:spacing w:after="200" w:line="276" w:lineRule="auto"/>
        <w:rPr>
          <w:rFonts w:asciiTheme="minorHAnsi" w:eastAsiaTheme="minorHAnsi" w:hAnsiTheme="minorHAnsi"/>
          <w:b w:val="0"/>
          <w:sz w:val="22"/>
          <w:szCs w:val="22"/>
        </w:rPr>
      </w:pPr>
      <w:r>
        <w:rPr>
          <w:rFonts w:asciiTheme="minorHAnsi" w:hAnsiTheme="minorHAnsi"/>
          <w:sz w:val="22"/>
          <w:szCs w:val="22"/>
        </w:rPr>
        <w:br w:type="page"/>
      </w:r>
    </w:p>
    <w:tbl>
      <w:tblPr>
        <w:tblStyle w:val="TableGrid"/>
        <w:tblW w:w="14130" w:type="dxa"/>
        <w:tblInd w:w="108" w:type="dxa"/>
        <w:tblLook w:val="04A0" w:firstRow="1" w:lastRow="0" w:firstColumn="1" w:lastColumn="0" w:noHBand="0" w:noVBand="1"/>
      </w:tblPr>
      <w:tblGrid>
        <w:gridCol w:w="14130"/>
      </w:tblGrid>
      <w:tr w:rsidR="00EC4626" w:rsidRPr="00B5307A" w14:paraId="5C21F079" w14:textId="77777777" w:rsidTr="006808E9">
        <w:trPr>
          <w:trHeight w:val="288"/>
        </w:trPr>
        <w:tc>
          <w:tcPr>
            <w:tcW w:w="14130" w:type="dxa"/>
            <w:shd w:val="clear" w:color="auto" w:fill="EEECE1" w:themeFill="background2"/>
          </w:tcPr>
          <w:p w14:paraId="06C2CC5E" w14:textId="77777777" w:rsidR="00EC4626" w:rsidRPr="003B390D" w:rsidRDefault="00EC4626" w:rsidP="006808E9">
            <w:pPr>
              <w:pStyle w:val="NoSpacing"/>
              <w:jc w:val="center"/>
              <w:rPr>
                <w:b/>
                <w:i/>
                <w:sz w:val="12"/>
                <w:szCs w:val="12"/>
              </w:rPr>
            </w:pPr>
          </w:p>
          <w:p w14:paraId="7A26F2A9" w14:textId="77777777" w:rsidR="00EC4626" w:rsidRPr="00F16946" w:rsidRDefault="00645328" w:rsidP="006808E9">
            <w:pPr>
              <w:pStyle w:val="NoSpacing"/>
              <w:jc w:val="center"/>
              <w:rPr>
                <w:b/>
                <w:i/>
                <w:sz w:val="24"/>
                <w:szCs w:val="24"/>
              </w:rPr>
            </w:pPr>
            <w:r>
              <w:rPr>
                <w:b/>
                <w:i/>
                <w:sz w:val="24"/>
                <w:szCs w:val="24"/>
              </w:rPr>
              <w:t xml:space="preserve">B. </w:t>
            </w:r>
            <w:r w:rsidR="00857D81">
              <w:rPr>
                <w:b/>
                <w:i/>
                <w:sz w:val="24"/>
                <w:szCs w:val="24"/>
              </w:rPr>
              <w:t xml:space="preserve">FUNDING AGENCY </w:t>
            </w:r>
            <w:r w:rsidR="00CD73C2">
              <w:rPr>
                <w:b/>
                <w:i/>
                <w:sz w:val="24"/>
                <w:szCs w:val="24"/>
              </w:rPr>
              <w:t xml:space="preserve">AND </w:t>
            </w:r>
            <w:r w:rsidR="00EC4626">
              <w:rPr>
                <w:b/>
                <w:i/>
                <w:sz w:val="24"/>
                <w:szCs w:val="24"/>
              </w:rPr>
              <w:t>AWARD</w:t>
            </w:r>
            <w:r w:rsidR="00857D81">
              <w:rPr>
                <w:b/>
                <w:i/>
                <w:sz w:val="24"/>
                <w:szCs w:val="24"/>
              </w:rPr>
              <w:t xml:space="preserve"> REQUIREMENT</w:t>
            </w:r>
            <w:r w:rsidR="00EC4626">
              <w:rPr>
                <w:b/>
                <w:i/>
                <w:sz w:val="24"/>
                <w:szCs w:val="24"/>
              </w:rPr>
              <w:t>S</w:t>
            </w:r>
          </w:p>
          <w:p w14:paraId="4338264B" w14:textId="77777777" w:rsidR="00EC4626" w:rsidRPr="00F16946" w:rsidRDefault="00EC4626" w:rsidP="006808E9">
            <w:pPr>
              <w:pStyle w:val="NoSpacing"/>
              <w:jc w:val="both"/>
              <w:rPr>
                <w:b/>
                <w:i/>
                <w:sz w:val="8"/>
                <w:szCs w:val="8"/>
              </w:rPr>
            </w:pPr>
          </w:p>
        </w:tc>
      </w:tr>
    </w:tbl>
    <w:p w14:paraId="1D133B02" w14:textId="77777777" w:rsidR="00EC4626" w:rsidRDefault="00EC4626" w:rsidP="008012EE">
      <w:pPr>
        <w:pStyle w:val="PlainText"/>
        <w:jc w:val="both"/>
        <w:rPr>
          <w:rFonts w:asciiTheme="minorHAnsi" w:hAnsiTheme="minorHAnsi" w:cs="Times New Roman"/>
          <w:sz w:val="22"/>
          <w:szCs w:val="22"/>
        </w:rPr>
      </w:pPr>
    </w:p>
    <w:tbl>
      <w:tblPr>
        <w:tblStyle w:val="TableGrid"/>
        <w:tblW w:w="14673" w:type="dxa"/>
        <w:tblInd w:w="-162" w:type="dxa"/>
        <w:tblLayout w:type="fixed"/>
        <w:tblLook w:val="04A0" w:firstRow="1" w:lastRow="0" w:firstColumn="1" w:lastColumn="0" w:noHBand="0" w:noVBand="1"/>
      </w:tblPr>
      <w:tblGrid>
        <w:gridCol w:w="518"/>
        <w:gridCol w:w="1872"/>
        <w:gridCol w:w="12283"/>
      </w:tblGrid>
      <w:tr w:rsidR="00AE5625" w:rsidRPr="00A116C4" w14:paraId="20F13EB4" w14:textId="77777777" w:rsidTr="000D538B">
        <w:trPr>
          <w:trHeight w:val="432"/>
        </w:trPr>
        <w:tc>
          <w:tcPr>
            <w:tcW w:w="518" w:type="dxa"/>
          </w:tcPr>
          <w:p w14:paraId="05CB8888" w14:textId="77777777" w:rsidR="00AE5625" w:rsidRDefault="00AE5625" w:rsidP="00927939">
            <w:pPr>
              <w:pStyle w:val="PlainText"/>
              <w:jc w:val="center"/>
              <w:rPr>
                <w:rFonts w:asciiTheme="minorHAnsi" w:hAnsiTheme="minorHAnsi" w:cs="Times New Roman"/>
                <w:b/>
                <w:sz w:val="22"/>
                <w:szCs w:val="22"/>
              </w:rPr>
            </w:pPr>
          </w:p>
          <w:p w14:paraId="6C4183D9" w14:textId="77777777" w:rsidR="00AE5625" w:rsidRPr="00A116C4" w:rsidRDefault="00AE5625" w:rsidP="00927939">
            <w:pPr>
              <w:pStyle w:val="PlainText"/>
              <w:jc w:val="center"/>
              <w:rPr>
                <w:rFonts w:asciiTheme="minorHAnsi" w:hAnsiTheme="minorHAnsi" w:cs="Times New Roman"/>
                <w:b/>
                <w:sz w:val="22"/>
                <w:szCs w:val="22"/>
              </w:rPr>
            </w:pPr>
            <w:r>
              <w:rPr>
                <w:rFonts w:asciiTheme="minorHAnsi" w:hAnsiTheme="minorHAnsi" w:cs="Times New Roman"/>
                <w:b/>
                <w:sz w:val="22"/>
                <w:szCs w:val="22"/>
              </w:rPr>
              <w:t>#</w:t>
            </w:r>
          </w:p>
        </w:tc>
        <w:tc>
          <w:tcPr>
            <w:tcW w:w="1872" w:type="dxa"/>
          </w:tcPr>
          <w:p w14:paraId="286C0FBF" w14:textId="77777777" w:rsidR="00AE5625" w:rsidRDefault="00AE5625" w:rsidP="00927939">
            <w:pPr>
              <w:pStyle w:val="PlainText"/>
              <w:jc w:val="center"/>
              <w:rPr>
                <w:rFonts w:asciiTheme="minorHAnsi" w:hAnsiTheme="minorHAnsi" w:cs="Times New Roman"/>
                <w:b/>
                <w:sz w:val="22"/>
                <w:szCs w:val="22"/>
              </w:rPr>
            </w:pPr>
          </w:p>
          <w:p w14:paraId="54A4EC3A" w14:textId="77777777" w:rsidR="00AE5625" w:rsidRPr="00A116C4" w:rsidRDefault="00AE5625" w:rsidP="00927939">
            <w:pPr>
              <w:pStyle w:val="PlainText"/>
              <w:jc w:val="center"/>
              <w:rPr>
                <w:rFonts w:asciiTheme="minorHAnsi" w:hAnsiTheme="minorHAnsi" w:cs="Times New Roman"/>
                <w:b/>
                <w:sz w:val="22"/>
                <w:szCs w:val="22"/>
              </w:rPr>
            </w:pPr>
            <w:r>
              <w:rPr>
                <w:rFonts w:asciiTheme="minorHAnsi" w:hAnsiTheme="minorHAnsi" w:cs="Times New Roman"/>
                <w:b/>
                <w:sz w:val="22"/>
                <w:szCs w:val="22"/>
              </w:rPr>
              <w:t>Item</w:t>
            </w:r>
          </w:p>
        </w:tc>
        <w:tc>
          <w:tcPr>
            <w:tcW w:w="12283" w:type="dxa"/>
          </w:tcPr>
          <w:p w14:paraId="56073EBE" w14:textId="421672E5" w:rsidR="00AE5625" w:rsidRDefault="00AE5625" w:rsidP="00927939">
            <w:pPr>
              <w:pStyle w:val="PlainText"/>
              <w:jc w:val="center"/>
              <w:rPr>
                <w:rFonts w:asciiTheme="minorHAnsi" w:hAnsiTheme="minorHAnsi" w:cs="Times New Roman"/>
                <w:b/>
                <w:sz w:val="22"/>
                <w:szCs w:val="22"/>
              </w:rPr>
            </w:pPr>
            <w:r>
              <w:rPr>
                <w:rFonts w:asciiTheme="minorHAnsi" w:hAnsiTheme="minorHAnsi" w:cs="Times New Roman"/>
                <w:b/>
                <w:sz w:val="22"/>
                <w:szCs w:val="22"/>
              </w:rPr>
              <w:t>Summary and</w:t>
            </w:r>
          </w:p>
          <w:p w14:paraId="6EFED869" w14:textId="6470DC71" w:rsidR="00AE5625" w:rsidRPr="00A116C4" w:rsidRDefault="00AE5625" w:rsidP="003E5388">
            <w:pPr>
              <w:pStyle w:val="PlainText"/>
              <w:jc w:val="center"/>
              <w:rPr>
                <w:rFonts w:asciiTheme="minorHAnsi" w:hAnsiTheme="minorHAnsi" w:cs="Times New Roman"/>
                <w:b/>
                <w:sz w:val="22"/>
                <w:szCs w:val="22"/>
              </w:rPr>
            </w:pPr>
            <w:r>
              <w:rPr>
                <w:rFonts w:asciiTheme="minorHAnsi" w:hAnsiTheme="minorHAnsi" w:cs="Times New Roman"/>
                <w:b/>
                <w:sz w:val="22"/>
                <w:szCs w:val="22"/>
              </w:rPr>
              <w:t xml:space="preserve">Points </w:t>
            </w:r>
            <w:r w:rsidR="003E5388">
              <w:rPr>
                <w:rFonts w:asciiTheme="minorHAnsi" w:hAnsiTheme="minorHAnsi" w:cs="Times New Roman"/>
                <w:b/>
                <w:sz w:val="22"/>
                <w:szCs w:val="22"/>
              </w:rPr>
              <w:t>to</w:t>
            </w:r>
            <w:r>
              <w:rPr>
                <w:rFonts w:asciiTheme="minorHAnsi" w:hAnsiTheme="minorHAnsi" w:cs="Times New Roman"/>
                <w:b/>
                <w:sz w:val="22"/>
                <w:szCs w:val="22"/>
              </w:rPr>
              <w:t xml:space="preserve"> Consider</w:t>
            </w:r>
          </w:p>
        </w:tc>
      </w:tr>
      <w:tr w:rsidR="00AE5625" w:rsidRPr="004A46A7" w14:paraId="58F33CC6" w14:textId="77777777" w:rsidTr="000D538B">
        <w:trPr>
          <w:trHeight w:val="144"/>
        </w:trPr>
        <w:tc>
          <w:tcPr>
            <w:tcW w:w="518" w:type="dxa"/>
          </w:tcPr>
          <w:p w14:paraId="61FF39E8" w14:textId="77777777" w:rsidR="00AE5625" w:rsidRDefault="00AE5625" w:rsidP="006808E9">
            <w:pPr>
              <w:pStyle w:val="PlainText"/>
              <w:jc w:val="center"/>
              <w:rPr>
                <w:b/>
              </w:rPr>
            </w:pPr>
          </w:p>
        </w:tc>
        <w:tc>
          <w:tcPr>
            <w:tcW w:w="1872" w:type="dxa"/>
          </w:tcPr>
          <w:p w14:paraId="175D742B" w14:textId="77777777" w:rsidR="00AE5625" w:rsidRDefault="00AE5625" w:rsidP="006808E9">
            <w:pPr>
              <w:pStyle w:val="PlainText"/>
              <w:jc w:val="center"/>
              <w:rPr>
                <w:rFonts w:asciiTheme="minorHAnsi" w:hAnsiTheme="minorHAnsi"/>
                <w:b/>
                <w:i/>
                <w:sz w:val="22"/>
                <w:szCs w:val="22"/>
              </w:rPr>
            </w:pPr>
          </w:p>
        </w:tc>
        <w:tc>
          <w:tcPr>
            <w:tcW w:w="12283" w:type="dxa"/>
          </w:tcPr>
          <w:p w14:paraId="773E44E6" w14:textId="77777777" w:rsidR="00AE5625" w:rsidRPr="00921CCA" w:rsidRDefault="00AE5625" w:rsidP="00EC4626">
            <w:pPr>
              <w:pStyle w:val="PlainText"/>
              <w:jc w:val="both"/>
              <w:rPr>
                <w:rFonts w:asciiTheme="minorHAnsi" w:hAnsiTheme="minorHAnsi" w:cs="Courier"/>
                <w:sz w:val="22"/>
                <w:szCs w:val="22"/>
              </w:rPr>
            </w:pPr>
          </w:p>
        </w:tc>
      </w:tr>
      <w:tr w:rsidR="00AE5625" w:rsidRPr="004A46A7" w14:paraId="034DF9A4" w14:textId="77777777" w:rsidTr="000D538B">
        <w:trPr>
          <w:trHeight w:val="432"/>
        </w:trPr>
        <w:tc>
          <w:tcPr>
            <w:tcW w:w="518" w:type="dxa"/>
          </w:tcPr>
          <w:p w14:paraId="066F657B" w14:textId="77777777" w:rsidR="00AE5625" w:rsidRPr="00DD2917" w:rsidRDefault="00AE5625" w:rsidP="006808E9">
            <w:pPr>
              <w:pStyle w:val="PlainText"/>
              <w:jc w:val="center"/>
              <w:rPr>
                <w:rFonts w:asciiTheme="minorHAnsi" w:hAnsiTheme="minorHAnsi" w:cs="Times New Roman"/>
                <w:b/>
                <w:sz w:val="22"/>
                <w:szCs w:val="22"/>
              </w:rPr>
            </w:pPr>
            <w:r>
              <w:rPr>
                <w:b/>
              </w:rPr>
              <w:br w:type="page"/>
              <w:t>1</w:t>
            </w:r>
            <w:r>
              <w:rPr>
                <w:rFonts w:asciiTheme="minorHAnsi" w:hAnsiTheme="minorHAnsi" w:cs="Times New Roman"/>
                <w:b/>
                <w:sz w:val="22"/>
                <w:szCs w:val="22"/>
              </w:rPr>
              <w:t>.</w:t>
            </w:r>
          </w:p>
        </w:tc>
        <w:tc>
          <w:tcPr>
            <w:tcW w:w="1872" w:type="dxa"/>
          </w:tcPr>
          <w:p w14:paraId="7A94C239" w14:textId="77777777" w:rsidR="00AE5625" w:rsidRDefault="00AE5625" w:rsidP="006808E9">
            <w:pPr>
              <w:pStyle w:val="PlainText"/>
              <w:jc w:val="center"/>
              <w:rPr>
                <w:rFonts w:asciiTheme="minorHAnsi" w:hAnsiTheme="minorHAnsi"/>
                <w:b/>
                <w:i/>
                <w:sz w:val="22"/>
                <w:szCs w:val="22"/>
              </w:rPr>
            </w:pPr>
            <w:r>
              <w:rPr>
                <w:rFonts w:asciiTheme="minorHAnsi" w:hAnsiTheme="minorHAnsi"/>
                <w:b/>
                <w:i/>
                <w:sz w:val="22"/>
                <w:szCs w:val="22"/>
              </w:rPr>
              <w:t>Funding opportunities available for at least 60 calendar days</w:t>
            </w:r>
          </w:p>
          <w:p w14:paraId="37EBFACB" w14:textId="77777777" w:rsidR="00AE5625" w:rsidRPr="00DD2917" w:rsidRDefault="00AE5625" w:rsidP="006808E9">
            <w:pPr>
              <w:pStyle w:val="PlainText"/>
              <w:jc w:val="center"/>
              <w:rPr>
                <w:rFonts w:asciiTheme="minorHAnsi" w:hAnsiTheme="minorHAnsi"/>
                <w:b/>
                <w:i/>
                <w:sz w:val="12"/>
                <w:szCs w:val="12"/>
              </w:rPr>
            </w:pPr>
          </w:p>
          <w:p w14:paraId="730121C6" w14:textId="527256C4" w:rsidR="00AE5625" w:rsidRDefault="00AE5625" w:rsidP="006808E9">
            <w:pPr>
              <w:pStyle w:val="PlainText"/>
              <w:jc w:val="center"/>
              <w:rPr>
                <w:rFonts w:asciiTheme="minorHAnsi" w:hAnsiTheme="minorHAnsi" w:cs="Times New Roman"/>
                <w:b/>
                <w:i/>
                <w:sz w:val="22"/>
                <w:szCs w:val="22"/>
              </w:rPr>
            </w:pPr>
            <w:r>
              <w:rPr>
                <w:rFonts w:asciiTheme="minorHAnsi" w:hAnsiTheme="minorHAnsi" w:cs="Times New Roman"/>
                <w:b/>
                <w:i/>
                <w:sz w:val="22"/>
                <w:szCs w:val="22"/>
              </w:rPr>
              <w:t>(200.203)</w:t>
            </w:r>
          </w:p>
          <w:p w14:paraId="0D799594" w14:textId="77777777" w:rsidR="00AE5625" w:rsidRPr="003E2F73" w:rsidRDefault="00AE5625" w:rsidP="006808E9">
            <w:pPr>
              <w:pStyle w:val="PlainText"/>
              <w:jc w:val="center"/>
              <w:rPr>
                <w:rFonts w:asciiTheme="minorHAnsi" w:hAnsiTheme="minorHAnsi" w:cs="Times New Roman"/>
                <w:b/>
                <w:i/>
                <w:sz w:val="22"/>
                <w:szCs w:val="22"/>
              </w:rPr>
            </w:pPr>
          </w:p>
        </w:tc>
        <w:tc>
          <w:tcPr>
            <w:tcW w:w="12283" w:type="dxa"/>
          </w:tcPr>
          <w:p w14:paraId="7BC4DAE1" w14:textId="33947B70" w:rsidR="003D3070" w:rsidRDefault="00012102" w:rsidP="00EC4626">
            <w:pPr>
              <w:pStyle w:val="PlainText"/>
              <w:jc w:val="both"/>
              <w:rPr>
                <w:rFonts w:asciiTheme="minorHAnsi" w:hAnsiTheme="minorHAnsi" w:cs="Courier"/>
                <w:sz w:val="22"/>
                <w:szCs w:val="22"/>
              </w:rPr>
            </w:pPr>
            <w:r>
              <w:rPr>
                <w:rFonts w:asciiTheme="minorHAnsi" w:hAnsiTheme="minorHAnsi" w:cs="Courier"/>
                <w:sz w:val="22"/>
                <w:szCs w:val="22"/>
              </w:rPr>
              <w:t xml:space="preserve">200.203(b) states that </w:t>
            </w:r>
            <w:r w:rsidR="003D3070">
              <w:rPr>
                <w:rFonts w:asciiTheme="minorHAnsi" w:hAnsiTheme="minorHAnsi" w:cs="Courier"/>
                <w:sz w:val="22"/>
                <w:szCs w:val="22"/>
              </w:rPr>
              <w:t>Federal awarding agency must generally make all funding opportunities available for at least 60 calendar days. The awarding agency may make a determination to have a less than 60 calendar day availability period but no funding opportunity should be available for less than 30 calendar days unless exigent circumstances.</w:t>
            </w:r>
          </w:p>
          <w:p w14:paraId="4D57FA01" w14:textId="77777777" w:rsidR="00012102" w:rsidRDefault="00012102" w:rsidP="00012102">
            <w:pPr>
              <w:jc w:val="both"/>
              <w:rPr>
                <w:rFonts w:ascii="Calibri" w:hAnsi="Calibri"/>
                <w:b w:val="0"/>
                <w:sz w:val="22"/>
                <w:szCs w:val="22"/>
              </w:rPr>
            </w:pPr>
          </w:p>
          <w:p w14:paraId="431EE8AE" w14:textId="1777451B" w:rsidR="00012102" w:rsidRPr="00E258A1" w:rsidRDefault="00012102" w:rsidP="00012102">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3E5388">
              <w:rPr>
                <w:rFonts w:asciiTheme="minorHAnsi" w:hAnsiTheme="minorHAnsi"/>
                <w:b/>
                <w:i/>
                <w:sz w:val="22"/>
                <w:szCs w:val="22"/>
              </w:rPr>
              <w:t>TO</w:t>
            </w:r>
            <w:r w:rsidRPr="00E258A1">
              <w:rPr>
                <w:rFonts w:asciiTheme="minorHAnsi" w:hAnsiTheme="minorHAnsi"/>
                <w:b/>
                <w:i/>
                <w:sz w:val="22"/>
                <w:szCs w:val="22"/>
              </w:rPr>
              <w:t xml:space="preserve"> CONSIDER:</w:t>
            </w:r>
          </w:p>
          <w:p w14:paraId="13D13FC5" w14:textId="77777777" w:rsidR="00012102" w:rsidRPr="00F23B03" w:rsidRDefault="00012102" w:rsidP="00012102">
            <w:pPr>
              <w:jc w:val="both"/>
              <w:rPr>
                <w:rFonts w:ascii="Calibri" w:hAnsi="Calibri"/>
                <w:b w:val="0"/>
                <w:sz w:val="12"/>
                <w:szCs w:val="12"/>
              </w:rPr>
            </w:pPr>
          </w:p>
          <w:p w14:paraId="0444E719" w14:textId="7948550C" w:rsidR="00F23B03" w:rsidRDefault="00AE5625" w:rsidP="004C28F6">
            <w:pPr>
              <w:pStyle w:val="PlainText"/>
              <w:numPr>
                <w:ilvl w:val="0"/>
                <w:numId w:val="7"/>
              </w:numPr>
              <w:jc w:val="both"/>
              <w:rPr>
                <w:rFonts w:asciiTheme="minorHAnsi" w:hAnsiTheme="minorHAnsi"/>
                <w:sz w:val="22"/>
                <w:szCs w:val="22"/>
              </w:rPr>
            </w:pPr>
            <w:r w:rsidRPr="00921CCA">
              <w:rPr>
                <w:rFonts w:asciiTheme="minorHAnsi" w:hAnsiTheme="minorHAnsi"/>
                <w:sz w:val="22"/>
                <w:szCs w:val="22"/>
              </w:rPr>
              <w:t>60 calendar days sets a clea</w:t>
            </w:r>
            <w:r>
              <w:rPr>
                <w:rFonts w:asciiTheme="minorHAnsi" w:hAnsiTheme="minorHAnsi"/>
                <w:sz w:val="22"/>
                <w:szCs w:val="22"/>
              </w:rPr>
              <w:t xml:space="preserve">r standard. </w:t>
            </w:r>
            <w:r w:rsidRPr="00921CCA">
              <w:rPr>
                <w:rFonts w:asciiTheme="minorHAnsi" w:hAnsiTheme="minorHAnsi"/>
                <w:sz w:val="22"/>
                <w:szCs w:val="22"/>
              </w:rPr>
              <w:t>However, agencies still</w:t>
            </w:r>
            <w:r w:rsidRPr="001531BA">
              <w:rPr>
                <w:rFonts w:asciiTheme="minorHAnsi" w:hAnsiTheme="minorHAnsi"/>
                <w:sz w:val="22"/>
                <w:szCs w:val="22"/>
              </w:rPr>
              <w:t xml:space="preserve"> can make determinations </w:t>
            </w:r>
            <w:r w:rsidR="00EB73D5">
              <w:rPr>
                <w:rFonts w:asciiTheme="minorHAnsi" w:hAnsiTheme="minorHAnsi"/>
                <w:sz w:val="22"/>
                <w:szCs w:val="22"/>
              </w:rPr>
              <w:t>that</w:t>
            </w:r>
            <w:r w:rsidR="00EB73D5" w:rsidRPr="001531BA">
              <w:rPr>
                <w:rFonts w:asciiTheme="minorHAnsi" w:hAnsiTheme="minorHAnsi"/>
                <w:sz w:val="22"/>
                <w:szCs w:val="22"/>
              </w:rPr>
              <w:t xml:space="preserve"> </w:t>
            </w:r>
            <w:r w:rsidRPr="001531BA">
              <w:rPr>
                <w:rFonts w:asciiTheme="minorHAnsi" w:hAnsiTheme="minorHAnsi"/>
                <w:sz w:val="22"/>
                <w:szCs w:val="22"/>
              </w:rPr>
              <w:t>less than 30 days</w:t>
            </w:r>
            <w:r w:rsidR="00EB73D5">
              <w:rPr>
                <w:rFonts w:asciiTheme="minorHAnsi" w:hAnsiTheme="minorHAnsi"/>
                <w:sz w:val="22"/>
                <w:szCs w:val="22"/>
              </w:rPr>
              <w:t xml:space="preserve"> is appropriate</w:t>
            </w:r>
            <w:r w:rsidR="00F23B03">
              <w:rPr>
                <w:rFonts w:asciiTheme="minorHAnsi" w:hAnsiTheme="minorHAnsi"/>
                <w:sz w:val="22"/>
                <w:szCs w:val="22"/>
              </w:rPr>
              <w:t>.</w:t>
            </w:r>
          </w:p>
          <w:p w14:paraId="09FACF1E" w14:textId="69288F1C" w:rsidR="00F23B03" w:rsidRPr="00F23B03" w:rsidRDefault="00F23B03" w:rsidP="004C28F6">
            <w:pPr>
              <w:pStyle w:val="PlainText"/>
              <w:numPr>
                <w:ilvl w:val="0"/>
                <w:numId w:val="7"/>
              </w:numPr>
              <w:jc w:val="both"/>
              <w:rPr>
                <w:rFonts w:asciiTheme="minorHAnsi" w:hAnsiTheme="minorHAnsi"/>
                <w:sz w:val="22"/>
                <w:szCs w:val="22"/>
              </w:rPr>
            </w:pPr>
            <w:r>
              <w:rPr>
                <w:rFonts w:asciiTheme="minorHAnsi" w:hAnsiTheme="minorHAnsi"/>
                <w:sz w:val="22"/>
                <w:szCs w:val="22"/>
              </w:rPr>
              <w:t>Contact</w:t>
            </w:r>
            <w:r w:rsidRPr="00012102">
              <w:rPr>
                <w:rFonts w:asciiTheme="minorHAnsi" w:hAnsiTheme="minorHAnsi"/>
                <w:bCs/>
                <w:sz w:val="22"/>
                <w:szCs w:val="22"/>
              </w:rPr>
              <w:t xml:space="preserve"> </w:t>
            </w:r>
            <w:r w:rsidR="00E55291">
              <w:rPr>
                <w:rFonts w:asciiTheme="minorHAnsi" w:hAnsiTheme="minorHAnsi"/>
                <w:bCs/>
                <w:sz w:val="22"/>
                <w:szCs w:val="22"/>
              </w:rPr>
              <w:t xml:space="preserve">Federal </w:t>
            </w:r>
            <w:r>
              <w:rPr>
                <w:rFonts w:asciiTheme="minorHAnsi" w:hAnsiTheme="minorHAnsi"/>
                <w:bCs/>
                <w:sz w:val="22"/>
                <w:szCs w:val="22"/>
              </w:rPr>
              <w:t xml:space="preserve">officials </w:t>
            </w:r>
            <w:r w:rsidRPr="00012102">
              <w:rPr>
                <w:rFonts w:asciiTheme="minorHAnsi" w:hAnsiTheme="minorHAnsi"/>
                <w:bCs/>
                <w:sz w:val="22"/>
                <w:szCs w:val="22"/>
              </w:rPr>
              <w:t>when there are deviations</w:t>
            </w:r>
            <w:r>
              <w:rPr>
                <w:rFonts w:asciiTheme="minorHAnsi" w:hAnsiTheme="minorHAnsi"/>
                <w:bCs/>
                <w:sz w:val="22"/>
                <w:szCs w:val="22"/>
              </w:rPr>
              <w:t xml:space="preserve"> and ask for documentation and justification.</w:t>
            </w:r>
          </w:p>
          <w:p w14:paraId="21900CD9" w14:textId="77777777" w:rsidR="00F23B03" w:rsidRPr="00F23B03" w:rsidRDefault="00F23B03" w:rsidP="004C28F6">
            <w:pPr>
              <w:pStyle w:val="PlainText"/>
              <w:numPr>
                <w:ilvl w:val="0"/>
                <w:numId w:val="7"/>
              </w:numPr>
              <w:jc w:val="both"/>
              <w:rPr>
                <w:rFonts w:asciiTheme="minorHAnsi" w:hAnsiTheme="minorHAnsi"/>
                <w:sz w:val="22"/>
                <w:szCs w:val="22"/>
              </w:rPr>
            </w:pPr>
            <w:r>
              <w:rPr>
                <w:rFonts w:asciiTheme="minorHAnsi" w:hAnsiTheme="minorHAnsi"/>
                <w:bCs/>
                <w:sz w:val="22"/>
                <w:szCs w:val="22"/>
              </w:rPr>
              <w:t>Notify COGR staff to document deviations.</w:t>
            </w:r>
          </w:p>
          <w:p w14:paraId="24752820" w14:textId="19C8C441" w:rsidR="00AE5625" w:rsidRPr="003B390D" w:rsidRDefault="00AE5625" w:rsidP="00F23B03">
            <w:pPr>
              <w:pStyle w:val="PlainText"/>
              <w:jc w:val="both"/>
              <w:rPr>
                <w:rFonts w:asciiTheme="minorHAnsi" w:hAnsiTheme="minorHAnsi"/>
                <w:bCs/>
                <w:sz w:val="22"/>
                <w:szCs w:val="22"/>
              </w:rPr>
            </w:pPr>
          </w:p>
        </w:tc>
      </w:tr>
      <w:tr w:rsidR="00AE5625" w:rsidRPr="004A46A7" w14:paraId="464AF644" w14:textId="77777777" w:rsidTr="000D538B">
        <w:trPr>
          <w:trHeight w:val="432"/>
        </w:trPr>
        <w:tc>
          <w:tcPr>
            <w:tcW w:w="518" w:type="dxa"/>
          </w:tcPr>
          <w:p w14:paraId="616ECA10" w14:textId="2E4991FD" w:rsidR="00AE5625" w:rsidRPr="00DD2917" w:rsidRDefault="00AE5625" w:rsidP="006808E9">
            <w:pPr>
              <w:pStyle w:val="PlainText"/>
              <w:jc w:val="center"/>
              <w:rPr>
                <w:rFonts w:asciiTheme="minorHAnsi" w:hAnsiTheme="minorHAnsi" w:cs="Times New Roman"/>
                <w:b/>
                <w:sz w:val="22"/>
                <w:szCs w:val="22"/>
              </w:rPr>
            </w:pPr>
            <w:r>
              <w:rPr>
                <w:b/>
              </w:rPr>
              <w:br w:type="page"/>
              <w:t>2</w:t>
            </w:r>
            <w:r>
              <w:rPr>
                <w:rFonts w:asciiTheme="minorHAnsi" w:hAnsiTheme="minorHAnsi" w:cs="Times New Roman"/>
                <w:b/>
                <w:sz w:val="22"/>
                <w:szCs w:val="22"/>
              </w:rPr>
              <w:t>.</w:t>
            </w:r>
          </w:p>
        </w:tc>
        <w:tc>
          <w:tcPr>
            <w:tcW w:w="1872" w:type="dxa"/>
          </w:tcPr>
          <w:p w14:paraId="724ABE93" w14:textId="77777777" w:rsidR="00AE5625" w:rsidRDefault="00AE5625" w:rsidP="006808E9">
            <w:pPr>
              <w:pStyle w:val="PlainText"/>
              <w:jc w:val="center"/>
              <w:rPr>
                <w:rFonts w:asciiTheme="minorHAnsi" w:hAnsiTheme="minorHAnsi"/>
                <w:b/>
                <w:i/>
                <w:sz w:val="22"/>
                <w:szCs w:val="22"/>
              </w:rPr>
            </w:pPr>
            <w:r>
              <w:rPr>
                <w:rFonts w:asciiTheme="minorHAnsi" w:hAnsiTheme="minorHAnsi"/>
                <w:b/>
                <w:i/>
                <w:sz w:val="22"/>
                <w:szCs w:val="22"/>
              </w:rPr>
              <w:t>Voluntary cost sharing cannot be required</w:t>
            </w:r>
          </w:p>
          <w:p w14:paraId="387DFA6C" w14:textId="77777777" w:rsidR="00AE5625" w:rsidRPr="00DD2917" w:rsidRDefault="00AE5625" w:rsidP="006808E9">
            <w:pPr>
              <w:pStyle w:val="PlainText"/>
              <w:jc w:val="center"/>
              <w:rPr>
                <w:rFonts w:asciiTheme="minorHAnsi" w:hAnsiTheme="minorHAnsi"/>
                <w:b/>
                <w:i/>
                <w:sz w:val="12"/>
                <w:szCs w:val="12"/>
              </w:rPr>
            </w:pPr>
          </w:p>
          <w:p w14:paraId="53FCE629" w14:textId="77777777" w:rsidR="00AE5625" w:rsidRDefault="00AE5625" w:rsidP="006808E9">
            <w:pPr>
              <w:pStyle w:val="PlainText"/>
              <w:jc w:val="center"/>
              <w:rPr>
                <w:rFonts w:asciiTheme="minorHAnsi" w:hAnsiTheme="minorHAnsi" w:cs="Times New Roman"/>
                <w:b/>
                <w:i/>
                <w:sz w:val="22"/>
                <w:szCs w:val="22"/>
              </w:rPr>
            </w:pPr>
            <w:r>
              <w:rPr>
                <w:rFonts w:asciiTheme="minorHAnsi" w:hAnsiTheme="minorHAnsi" w:cs="Times New Roman"/>
                <w:b/>
                <w:i/>
                <w:sz w:val="22"/>
                <w:szCs w:val="22"/>
              </w:rPr>
              <w:t>(200.204 &amp; 200.306)</w:t>
            </w:r>
          </w:p>
          <w:p w14:paraId="2816A670" w14:textId="77777777" w:rsidR="00AE5625" w:rsidRPr="003E2F73" w:rsidRDefault="00AE5625" w:rsidP="006808E9">
            <w:pPr>
              <w:pStyle w:val="PlainText"/>
              <w:jc w:val="center"/>
              <w:rPr>
                <w:rFonts w:asciiTheme="minorHAnsi" w:hAnsiTheme="minorHAnsi" w:cs="Times New Roman"/>
                <w:b/>
                <w:i/>
                <w:sz w:val="22"/>
                <w:szCs w:val="22"/>
              </w:rPr>
            </w:pPr>
          </w:p>
        </w:tc>
        <w:tc>
          <w:tcPr>
            <w:tcW w:w="12283" w:type="dxa"/>
          </w:tcPr>
          <w:p w14:paraId="0E19797C" w14:textId="281DCC24" w:rsidR="00012102" w:rsidRDefault="00012102" w:rsidP="00857D81">
            <w:pPr>
              <w:autoSpaceDE w:val="0"/>
              <w:autoSpaceDN w:val="0"/>
              <w:adjustRightInd w:val="0"/>
              <w:jc w:val="both"/>
              <w:rPr>
                <w:rFonts w:asciiTheme="minorHAnsi" w:eastAsiaTheme="minorHAnsi" w:hAnsiTheme="minorHAnsi" w:cs="Courier"/>
                <w:b w:val="0"/>
                <w:sz w:val="22"/>
                <w:szCs w:val="22"/>
              </w:rPr>
            </w:pPr>
            <w:r w:rsidRPr="00012102">
              <w:rPr>
                <w:rFonts w:asciiTheme="minorHAnsi" w:hAnsiTheme="minorHAnsi" w:cs="Courier"/>
                <w:b w:val="0"/>
                <w:sz w:val="22"/>
                <w:szCs w:val="22"/>
              </w:rPr>
              <w:t xml:space="preserve">200.204 states that the </w:t>
            </w:r>
            <w:r w:rsidR="00AE5625" w:rsidRPr="00012102">
              <w:rPr>
                <w:rFonts w:asciiTheme="minorHAnsi" w:hAnsiTheme="minorHAnsi" w:cs="Courier"/>
                <w:b w:val="0"/>
                <w:sz w:val="22"/>
                <w:szCs w:val="22"/>
              </w:rPr>
              <w:t>Federal awarding agency must design and execute a merit review process for applications, which must be described or incorporated by reference in the applicable funding opportunity</w:t>
            </w:r>
            <w:r>
              <w:rPr>
                <w:rFonts w:asciiTheme="minorHAnsi" w:hAnsiTheme="minorHAnsi" w:cs="Courier"/>
                <w:b w:val="0"/>
                <w:sz w:val="22"/>
                <w:szCs w:val="22"/>
              </w:rPr>
              <w:t xml:space="preserve"> and</w:t>
            </w:r>
            <w:r w:rsidRPr="00012102">
              <w:rPr>
                <w:rFonts w:asciiTheme="minorHAnsi" w:hAnsiTheme="minorHAnsi" w:cs="Courier"/>
                <w:b w:val="0"/>
                <w:sz w:val="22"/>
                <w:szCs w:val="22"/>
              </w:rPr>
              <w:t xml:space="preserve"> </w:t>
            </w:r>
            <w:r w:rsidRPr="00012102">
              <w:rPr>
                <w:rFonts w:asciiTheme="minorHAnsi" w:eastAsiaTheme="minorHAnsi" w:hAnsiTheme="minorHAnsi" w:cs="Courier"/>
                <w:b w:val="0"/>
                <w:sz w:val="22"/>
                <w:szCs w:val="22"/>
              </w:rPr>
              <w:t>Appendix I, C.2., states that a</w:t>
            </w:r>
            <w:r w:rsidR="00AE5625" w:rsidRPr="00012102">
              <w:rPr>
                <w:rFonts w:asciiTheme="minorHAnsi" w:eastAsiaTheme="minorHAnsi" w:hAnsiTheme="minorHAnsi" w:cs="Courier"/>
                <w:b w:val="0"/>
                <w:sz w:val="22"/>
                <w:szCs w:val="22"/>
              </w:rPr>
              <w:t>nnouncements must state whether</w:t>
            </w:r>
            <w:r w:rsidR="00AE5625" w:rsidRPr="00857D81">
              <w:rPr>
                <w:rFonts w:asciiTheme="minorHAnsi" w:eastAsiaTheme="minorHAnsi" w:hAnsiTheme="minorHAnsi" w:cs="Courier"/>
                <w:b w:val="0"/>
                <w:sz w:val="22"/>
                <w:szCs w:val="22"/>
              </w:rPr>
              <w:t xml:space="preserve"> there is required cost sharing, matching</w:t>
            </w:r>
            <w:r w:rsidR="00AE5625" w:rsidRPr="00604DC7">
              <w:rPr>
                <w:rFonts w:asciiTheme="minorHAnsi" w:eastAsiaTheme="minorHAnsi" w:hAnsiTheme="minorHAnsi" w:cs="Courier"/>
                <w:b w:val="0"/>
                <w:sz w:val="22"/>
                <w:szCs w:val="22"/>
              </w:rPr>
              <w:t>, or cost</w:t>
            </w:r>
            <w:r w:rsidR="00AE5625">
              <w:rPr>
                <w:rFonts w:asciiTheme="minorHAnsi" w:eastAsiaTheme="minorHAnsi" w:hAnsiTheme="minorHAnsi" w:cs="Courier"/>
                <w:b w:val="0"/>
                <w:sz w:val="22"/>
                <w:szCs w:val="22"/>
              </w:rPr>
              <w:t xml:space="preserve"> </w:t>
            </w:r>
            <w:r w:rsidR="00AE5625" w:rsidRPr="00604DC7">
              <w:rPr>
                <w:rFonts w:asciiTheme="minorHAnsi" w:eastAsiaTheme="minorHAnsi" w:hAnsiTheme="minorHAnsi" w:cs="Courier"/>
                <w:b w:val="0"/>
                <w:sz w:val="22"/>
                <w:szCs w:val="22"/>
              </w:rPr>
              <w:t>participation</w:t>
            </w:r>
            <w:r w:rsidR="00AE5625">
              <w:rPr>
                <w:rFonts w:asciiTheme="minorHAnsi" w:eastAsiaTheme="minorHAnsi" w:hAnsiTheme="minorHAnsi" w:cs="Courier"/>
                <w:b w:val="0"/>
                <w:sz w:val="22"/>
                <w:szCs w:val="22"/>
              </w:rPr>
              <w:t xml:space="preserve">. </w:t>
            </w:r>
            <w:r w:rsidR="00AE5625" w:rsidRPr="00187E4D">
              <w:rPr>
                <w:rFonts w:asciiTheme="minorHAnsi" w:eastAsiaTheme="minorHAnsi" w:hAnsiTheme="minorHAnsi" w:cs="Courier"/>
                <w:b w:val="0"/>
                <w:sz w:val="22"/>
                <w:szCs w:val="22"/>
              </w:rPr>
              <w:t>If cost</w:t>
            </w:r>
            <w:r w:rsidR="00AE5625">
              <w:rPr>
                <w:rFonts w:asciiTheme="minorHAnsi" w:eastAsiaTheme="minorHAnsi" w:hAnsiTheme="minorHAnsi" w:cs="Courier"/>
                <w:b w:val="0"/>
                <w:sz w:val="22"/>
                <w:szCs w:val="22"/>
              </w:rPr>
              <w:t xml:space="preserve"> </w:t>
            </w:r>
            <w:r w:rsidR="00AE5625" w:rsidRPr="00187E4D">
              <w:rPr>
                <w:rFonts w:asciiTheme="minorHAnsi" w:eastAsiaTheme="minorHAnsi" w:hAnsiTheme="minorHAnsi" w:cs="Courier"/>
                <w:b w:val="0"/>
                <w:sz w:val="22"/>
                <w:szCs w:val="22"/>
              </w:rPr>
              <w:t>sharing will not be considered, the announcement should say s</w:t>
            </w:r>
            <w:r w:rsidR="00AE5625">
              <w:rPr>
                <w:rFonts w:asciiTheme="minorHAnsi" w:eastAsiaTheme="minorHAnsi" w:hAnsiTheme="minorHAnsi" w:cs="Courier"/>
                <w:b w:val="0"/>
                <w:sz w:val="22"/>
                <w:szCs w:val="22"/>
              </w:rPr>
              <w:t>o.</w:t>
            </w:r>
          </w:p>
          <w:p w14:paraId="439C972B" w14:textId="77777777" w:rsidR="00012102" w:rsidRPr="00F23B03" w:rsidRDefault="00012102" w:rsidP="00857D81">
            <w:pPr>
              <w:autoSpaceDE w:val="0"/>
              <w:autoSpaceDN w:val="0"/>
              <w:adjustRightInd w:val="0"/>
              <w:jc w:val="both"/>
              <w:rPr>
                <w:rFonts w:asciiTheme="minorHAnsi" w:eastAsiaTheme="minorHAnsi" w:hAnsiTheme="minorHAnsi" w:cs="Courier"/>
                <w:b w:val="0"/>
                <w:sz w:val="12"/>
                <w:szCs w:val="12"/>
              </w:rPr>
            </w:pPr>
          </w:p>
          <w:p w14:paraId="6E61F41C" w14:textId="696022A4" w:rsidR="00AE5625" w:rsidRDefault="00012102" w:rsidP="00857D81">
            <w:pPr>
              <w:autoSpaceDE w:val="0"/>
              <w:autoSpaceDN w:val="0"/>
              <w:adjustRightInd w:val="0"/>
              <w:jc w:val="both"/>
              <w:rPr>
                <w:rFonts w:asciiTheme="minorHAnsi" w:eastAsiaTheme="minorHAnsi" w:hAnsiTheme="minorHAnsi" w:cs="Courier"/>
                <w:b w:val="0"/>
                <w:sz w:val="22"/>
                <w:szCs w:val="22"/>
              </w:rPr>
            </w:pPr>
            <w:r>
              <w:rPr>
                <w:rFonts w:asciiTheme="minorHAnsi" w:eastAsiaTheme="minorHAnsi" w:hAnsiTheme="minorHAnsi" w:cs="Courier"/>
                <w:b w:val="0"/>
                <w:sz w:val="22"/>
                <w:szCs w:val="22"/>
              </w:rPr>
              <w:t xml:space="preserve">200.306 states that </w:t>
            </w:r>
            <w:r w:rsidR="00AE5625" w:rsidRPr="000E1F51">
              <w:rPr>
                <w:rFonts w:asciiTheme="minorHAnsi" w:eastAsiaTheme="minorHAnsi" w:hAnsiTheme="minorHAnsi" w:cs="Courier"/>
                <w:b w:val="0"/>
                <w:sz w:val="22"/>
                <w:szCs w:val="22"/>
              </w:rPr>
              <w:t>Under Federal research proposals, voluntary committed cost sharing is not expected. It cannot be used as a factor during the merit review of applications or proposals, but may be considered if it is both in accordance with Federal awarding agency regulations and specified in a notice of funding opportunity</w:t>
            </w:r>
            <w:r w:rsidR="00AE5625">
              <w:rPr>
                <w:rFonts w:asciiTheme="minorHAnsi" w:eastAsiaTheme="minorHAnsi" w:hAnsiTheme="minorHAnsi" w:cs="Courier"/>
                <w:b w:val="0"/>
                <w:sz w:val="22"/>
                <w:szCs w:val="22"/>
              </w:rPr>
              <w:t>.</w:t>
            </w:r>
          </w:p>
          <w:p w14:paraId="3AC2FFE8" w14:textId="77777777" w:rsidR="00AE5625" w:rsidRPr="00F23B03" w:rsidRDefault="00AE5625" w:rsidP="00857D81">
            <w:pPr>
              <w:autoSpaceDE w:val="0"/>
              <w:autoSpaceDN w:val="0"/>
              <w:adjustRightInd w:val="0"/>
              <w:jc w:val="both"/>
              <w:rPr>
                <w:rFonts w:asciiTheme="minorHAnsi" w:eastAsiaTheme="minorHAnsi" w:hAnsiTheme="minorHAnsi" w:cs="Courier"/>
                <w:b w:val="0"/>
                <w:sz w:val="12"/>
                <w:szCs w:val="12"/>
              </w:rPr>
            </w:pPr>
          </w:p>
          <w:p w14:paraId="7D5F8ADC" w14:textId="13867578" w:rsidR="00AE5625" w:rsidRDefault="00AE5625" w:rsidP="00857D81">
            <w:pPr>
              <w:autoSpaceDE w:val="0"/>
              <w:autoSpaceDN w:val="0"/>
              <w:adjustRightInd w:val="0"/>
              <w:jc w:val="both"/>
              <w:rPr>
                <w:rFonts w:asciiTheme="minorHAnsi" w:eastAsiaTheme="minorHAnsi" w:hAnsiTheme="minorHAnsi" w:cs="Courier"/>
                <w:b w:val="0"/>
                <w:sz w:val="22"/>
                <w:szCs w:val="22"/>
              </w:rPr>
            </w:pPr>
            <w:r>
              <w:rPr>
                <w:rFonts w:asciiTheme="minorHAnsi" w:eastAsiaTheme="minorHAnsi" w:hAnsiTheme="minorHAnsi" w:cs="Courier"/>
                <w:b w:val="0"/>
                <w:sz w:val="22"/>
                <w:szCs w:val="22"/>
              </w:rPr>
              <w:t>COFAR FAQ 458-2 confirms applicability of the OMB clarification of uncommitted cost sharing in OMB M-01-06 dated January 5, 2001.</w:t>
            </w:r>
          </w:p>
          <w:p w14:paraId="3EDEBB53" w14:textId="20C56E6C" w:rsidR="00AE5625" w:rsidRPr="00F23B03" w:rsidRDefault="00AE5625" w:rsidP="00857D81">
            <w:pPr>
              <w:pStyle w:val="PlainText"/>
              <w:jc w:val="both"/>
              <w:rPr>
                <w:rFonts w:asciiTheme="minorHAnsi" w:hAnsiTheme="minorHAnsi"/>
                <w:bCs/>
                <w:sz w:val="22"/>
                <w:szCs w:val="22"/>
              </w:rPr>
            </w:pPr>
          </w:p>
          <w:p w14:paraId="38AA15F8" w14:textId="0D34834F" w:rsidR="00C910DB" w:rsidRPr="00E258A1" w:rsidRDefault="00C910DB" w:rsidP="00C910DB">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3E5388">
              <w:rPr>
                <w:rFonts w:asciiTheme="minorHAnsi" w:hAnsiTheme="minorHAnsi"/>
                <w:b/>
                <w:i/>
                <w:sz w:val="22"/>
                <w:szCs w:val="22"/>
              </w:rPr>
              <w:t>TO CONSIDER</w:t>
            </w:r>
            <w:r w:rsidRPr="00E258A1">
              <w:rPr>
                <w:rFonts w:asciiTheme="minorHAnsi" w:hAnsiTheme="minorHAnsi"/>
                <w:b/>
                <w:i/>
                <w:sz w:val="22"/>
                <w:szCs w:val="22"/>
              </w:rPr>
              <w:t>:</w:t>
            </w:r>
          </w:p>
          <w:p w14:paraId="70199712" w14:textId="77777777" w:rsidR="00C910DB" w:rsidRPr="003E5388" w:rsidRDefault="00C910DB" w:rsidP="00C910DB">
            <w:pPr>
              <w:jc w:val="both"/>
              <w:rPr>
                <w:rFonts w:ascii="Calibri" w:hAnsi="Calibri"/>
                <w:b w:val="0"/>
                <w:sz w:val="12"/>
                <w:szCs w:val="12"/>
              </w:rPr>
            </w:pPr>
          </w:p>
          <w:p w14:paraId="1C4501F8" w14:textId="65A1831B" w:rsidR="00F23B03" w:rsidRDefault="001977BA" w:rsidP="004C28F6">
            <w:pPr>
              <w:pStyle w:val="PlainText"/>
              <w:numPr>
                <w:ilvl w:val="0"/>
                <w:numId w:val="8"/>
              </w:numPr>
              <w:jc w:val="both"/>
              <w:rPr>
                <w:rFonts w:asciiTheme="minorHAnsi" w:hAnsiTheme="minorHAnsi"/>
                <w:bCs/>
                <w:sz w:val="22"/>
                <w:szCs w:val="22"/>
              </w:rPr>
            </w:pPr>
            <w:r>
              <w:rPr>
                <w:rFonts w:asciiTheme="minorHAnsi" w:hAnsiTheme="minorHAnsi"/>
                <w:sz w:val="22"/>
                <w:szCs w:val="22"/>
              </w:rPr>
              <w:t>Contact</w:t>
            </w:r>
            <w:r w:rsidR="00C910DB" w:rsidRPr="00012102">
              <w:rPr>
                <w:rFonts w:asciiTheme="minorHAnsi" w:hAnsiTheme="minorHAnsi"/>
                <w:bCs/>
                <w:sz w:val="22"/>
                <w:szCs w:val="22"/>
              </w:rPr>
              <w:t xml:space="preserve"> </w:t>
            </w:r>
            <w:r w:rsidR="00E55291">
              <w:rPr>
                <w:rFonts w:asciiTheme="minorHAnsi" w:hAnsiTheme="minorHAnsi"/>
                <w:bCs/>
                <w:sz w:val="22"/>
                <w:szCs w:val="22"/>
              </w:rPr>
              <w:t xml:space="preserve">Federal </w:t>
            </w:r>
            <w:r w:rsidR="00C910DB">
              <w:rPr>
                <w:rFonts w:asciiTheme="minorHAnsi" w:hAnsiTheme="minorHAnsi"/>
                <w:bCs/>
                <w:sz w:val="22"/>
                <w:szCs w:val="22"/>
              </w:rPr>
              <w:t xml:space="preserve">officials </w:t>
            </w:r>
            <w:r w:rsidR="00C910DB" w:rsidRPr="00012102">
              <w:rPr>
                <w:rFonts w:asciiTheme="minorHAnsi" w:hAnsiTheme="minorHAnsi"/>
                <w:bCs/>
                <w:sz w:val="22"/>
                <w:szCs w:val="22"/>
              </w:rPr>
              <w:t>when there are deviations</w:t>
            </w:r>
            <w:r w:rsidR="00C910DB">
              <w:rPr>
                <w:rFonts w:asciiTheme="minorHAnsi" w:hAnsiTheme="minorHAnsi"/>
                <w:bCs/>
                <w:sz w:val="22"/>
                <w:szCs w:val="22"/>
              </w:rPr>
              <w:t xml:space="preserve"> and ask for documentation and justification</w:t>
            </w:r>
            <w:r w:rsidR="00F23B03">
              <w:rPr>
                <w:rFonts w:asciiTheme="minorHAnsi" w:hAnsiTheme="minorHAnsi"/>
                <w:bCs/>
                <w:sz w:val="22"/>
                <w:szCs w:val="22"/>
              </w:rPr>
              <w:t>.</w:t>
            </w:r>
          </w:p>
          <w:p w14:paraId="0204CA12" w14:textId="77777777" w:rsidR="00AE5625" w:rsidRDefault="00F23B03" w:rsidP="00857D81">
            <w:pPr>
              <w:pStyle w:val="PlainText"/>
              <w:numPr>
                <w:ilvl w:val="0"/>
                <w:numId w:val="8"/>
              </w:numPr>
              <w:jc w:val="both"/>
              <w:rPr>
                <w:rFonts w:asciiTheme="minorHAnsi" w:hAnsiTheme="minorHAnsi"/>
                <w:bCs/>
                <w:sz w:val="22"/>
                <w:szCs w:val="22"/>
              </w:rPr>
            </w:pPr>
            <w:r>
              <w:rPr>
                <w:rFonts w:asciiTheme="minorHAnsi" w:hAnsiTheme="minorHAnsi"/>
                <w:bCs/>
                <w:sz w:val="22"/>
                <w:szCs w:val="22"/>
              </w:rPr>
              <w:t>Notify COGR staff to document deviations</w:t>
            </w:r>
            <w:r w:rsidR="00C910DB">
              <w:rPr>
                <w:rFonts w:asciiTheme="minorHAnsi" w:hAnsiTheme="minorHAnsi"/>
                <w:bCs/>
                <w:sz w:val="22"/>
                <w:szCs w:val="22"/>
              </w:rPr>
              <w:t>.</w:t>
            </w:r>
          </w:p>
          <w:p w14:paraId="076A2B77" w14:textId="1461ABB4" w:rsidR="003E5388" w:rsidRPr="003E5388" w:rsidRDefault="003E5388" w:rsidP="003E5388">
            <w:pPr>
              <w:pStyle w:val="PlainText"/>
              <w:ind w:left="360"/>
              <w:jc w:val="both"/>
              <w:rPr>
                <w:rFonts w:asciiTheme="minorHAnsi" w:hAnsiTheme="minorHAnsi"/>
                <w:bCs/>
                <w:sz w:val="22"/>
                <w:szCs w:val="22"/>
              </w:rPr>
            </w:pPr>
          </w:p>
        </w:tc>
      </w:tr>
      <w:tr w:rsidR="00AE5625" w:rsidRPr="004A46A7" w14:paraId="2493A002" w14:textId="77777777" w:rsidTr="000D538B">
        <w:trPr>
          <w:trHeight w:val="432"/>
        </w:trPr>
        <w:tc>
          <w:tcPr>
            <w:tcW w:w="518" w:type="dxa"/>
          </w:tcPr>
          <w:p w14:paraId="44D65DB7" w14:textId="1E694237" w:rsidR="00AE5625" w:rsidRPr="00DD2917" w:rsidRDefault="00AE5625" w:rsidP="003B390D">
            <w:pPr>
              <w:pStyle w:val="PlainText"/>
              <w:jc w:val="center"/>
              <w:rPr>
                <w:rFonts w:asciiTheme="minorHAnsi" w:hAnsiTheme="minorHAnsi" w:cs="Times New Roman"/>
                <w:b/>
                <w:sz w:val="22"/>
                <w:szCs w:val="22"/>
              </w:rPr>
            </w:pPr>
            <w:r>
              <w:rPr>
                <w:b/>
              </w:rPr>
              <w:br w:type="page"/>
              <w:t>3</w:t>
            </w:r>
            <w:r>
              <w:rPr>
                <w:rFonts w:asciiTheme="minorHAnsi" w:hAnsiTheme="minorHAnsi" w:cs="Times New Roman"/>
                <w:b/>
                <w:sz w:val="22"/>
                <w:szCs w:val="22"/>
              </w:rPr>
              <w:t>.</w:t>
            </w:r>
          </w:p>
        </w:tc>
        <w:tc>
          <w:tcPr>
            <w:tcW w:w="1872" w:type="dxa"/>
          </w:tcPr>
          <w:p w14:paraId="6ED610E4" w14:textId="6F85447E" w:rsidR="00AE5625" w:rsidRDefault="00AE5625" w:rsidP="006808E9">
            <w:pPr>
              <w:pStyle w:val="PlainText"/>
              <w:jc w:val="center"/>
              <w:rPr>
                <w:rFonts w:asciiTheme="minorHAnsi" w:hAnsiTheme="minorHAnsi"/>
                <w:b/>
                <w:i/>
                <w:sz w:val="22"/>
                <w:szCs w:val="22"/>
              </w:rPr>
            </w:pPr>
            <w:r>
              <w:rPr>
                <w:rFonts w:asciiTheme="minorHAnsi" w:hAnsiTheme="minorHAnsi"/>
                <w:b/>
                <w:i/>
                <w:sz w:val="22"/>
                <w:szCs w:val="22"/>
              </w:rPr>
              <w:t>Agency financial risk assessment of applicants</w:t>
            </w:r>
          </w:p>
          <w:p w14:paraId="2552EBBF" w14:textId="66A18D95" w:rsidR="00AE5625" w:rsidRPr="00DD2917" w:rsidRDefault="00AE5625" w:rsidP="006808E9">
            <w:pPr>
              <w:pStyle w:val="PlainText"/>
              <w:jc w:val="center"/>
              <w:rPr>
                <w:rFonts w:asciiTheme="minorHAnsi" w:hAnsiTheme="minorHAnsi"/>
                <w:b/>
                <w:i/>
                <w:sz w:val="12"/>
                <w:szCs w:val="12"/>
              </w:rPr>
            </w:pPr>
          </w:p>
          <w:p w14:paraId="792ACE08" w14:textId="5EC1780D" w:rsidR="00AE5625" w:rsidRDefault="00AE5625" w:rsidP="006808E9">
            <w:pPr>
              <w:pStyle w:val="PlainText"/>
              <w:jc w:val="center"/>
              <w:rPr>
                <w:rFonts w:asciiTheme="minorHAnsi" w:hAnsiTheme="minorHAnsi" w:cs="Times New Roman"/>
                <w:b/>
                <w:i/>
                <w:sz w:val="22"/>
                <w:szCs w:val="22"/>
              </w:rPr>
            </w:pPr>
            <w:r>
              <w:rPr>
                <w:rFonts w:asciiTheme="minorHAnsi" w:hAnsiTheme="minorHAnsi" w:cs="Times New Roman"/>
                <w:b/>
                <w:i/>
                <w:sz w:val="22"/>
                <w:szCs w:val="22"/>
              </w:rPr>
              <w:lastRenderedPageBreak/>
              <w:t>(200.205)</w:t>
            </w:r>
          </w:p>
          <w:p w14:paraId="7A2F0C54" w14:textId="77777777" w:rsidR="00AE5625" w:rsidRPr="003E2F73" w:rsidRDefault="00AE5625" w:rsidP="006808E9">
            <w:pPr>
              <w:pStyle w:val="PlainText"/>
              <w:jc w:val="center"/>
              <w:rPr>
                <w:rFonts w:asciiTheme="minorHAnsi" w:hAnsiTheme="minorHAnsi" w:cs="Times New Roman"/>
                <w:b/>
                <w:i/>
                <w:sz w:val="22"/>
                <w:szCs w:val="22"/>
              </w:rPr>
            </w:pPr>
          </w:p>
        </w:tc>
        <w:tc>
          <w:tcPr>
            <w:tcW w:w="12283" w:type="dxa"/>
          </w:tcPr>
          <w:p w14:paraId="79F8E36E" w14:textId="2D9CA76B" w:rsidR="00AE5625" w:rsidRPr="003B390D" w:rsidRDefault="00C910DB" w:rsidP="003B390D">
            <w:pPr>
              <w:pStyle w:val="PlainText"/>
              <w:jc w:val="both"/>
              <w:rPr>
                <w:rFonts w:asciiTheme="minorHAnsi" w:hAnsiTheme="minorHAnsi" w:cs="Courier"/>
                <w:sz w:val="22"/>
                <w:szCs w:val="22"/>
              </w:rPr>
            </w:pPr>
            <w:r>
              <w:rPr>
                <w:rFonts w:asciiTheme="minorHAnsi" w:hAnsiTheme="minorHAnsi"/>
                <w:bCs/>
                <w:sz w:val="22"/>
                <w:szCs w:val="22"/>
              </w:rPr>
              <w:lastRenderedPageBreak/>
              <w:t>200.205(b) states that t</w:t>
            </w:r>
            <w:r w:rsidR="00AE5625" w:rsidRPr="003B390D">
              <w:rPr>
                <w:rFonts w:asciiTheme="minorHAnsi" w:hAnsiTheme="minorHAnsi" w:cs="Courier"/>
                <w:sz w:val="22"/>
                <w:szCs w:val="22"/>
              </w:rPr>
              <w:t>he Federal awarding agency must have in place a framework for evaluating the risks posed by applicants before they receive Federal awards.</w:t>
            </w:r>
          </w:p>
          <w:p w14:paraId="5C39E8F9" w14:textId="4D48938D" w:rsidR="00AE5625" w:rsidRPr="003B390D" w:rsidRDefault="00AE5625" w:rsidP="003B390D">
            <w:pPr>
              <w:pStyle w:val="PlainText"/>
              <w:jc w:val="both"/>
              <w:rPr>
                <w:rFonts w:asciiTheme="minorHAnsi" w:hAnsiTheme="minorHAnsi" w:cs="Courier"/>
                <w:sz w:val="12"/>
                <w:szCs w:val="12"/>
              </w:rPr>
            </w:pPr>
          </w:p>
          <w:p w14:paraId="34AB7598" w14:textId="37CC796B" w:rsidR="00AE5625" w:rsidRDefault="00AE5625" w:rsidP="003B390D">
            <w:pPr>
              <w:pStyle w:val="PlainText"/>
              <w:jc w:val="both"/>
              <w:rPr>
                <w:rFonts w:asciiTheme="minorHAnsi" w:hAnsiTheme="minorHAnsi"/>
                <w:sz w:val="22"/>
                <w:szCs w:val="22"/>
              </w:rPr>
            </w:pPr>
            <w:r w:rsidRPr="003B390D">
              <w:rPr>
                <w:rFonts w:asciiTheme="minorHAnsi" w:hAnsiTheme="minorHAnsi"/>
                <w:sz w:val="22"/>
                <w:szCs w:val="22"/>
              </w:rPr>
              <w:t>COFAR FAQ .205-1 specifies that this section of the UG applies to Federal awarding agency assessment of risk, not auditor assessment.</w:t>
            </w:r>
          </w:p>
          <w:p w14:paraId="5261E59F" w14:textId="3BBBE480" w:rsidR="00331903" w:rsidRPr="00C910DB" w:rsidRDefault="00331903" w:rsidP="003B390D">
            <w:pPr>
              <w:pStyle w:val="PlainText"/>
              <w:jc w:val="both"/>
              <w:rPr>
                <w:rFonts w:asciiTheme="minorHAnsi" w:hAnsiTheme="minorHAnsi"/>
                <w:sz w:val="22"/>
                <w:szCs w:val="22"/>
              </w:rPr>
            </w:pPr>
          </w:p>
          <w:p w14:paraId="20F5EF9C" w14:textId="79FA29E6" w:rsidR="00C910DB" w:rsidRPr="00C910DB" w:rsidRDefault="00C910DB" w:rsidP="00C910DB">
            <w:pPr>
              <w:pStyle w:val="TableContents"/>
              <w:jc w:val="both"/>
              <w:rPr>
                <w:rFonts w:asciiTheme="minorHAnsi" w:hAnsiTheme="minorHAnsi"/>
                <w:b/>
                <w:i/>
                <w:sz w:val="22"/>
                <w:szCs w:val="22"/>
              </w:rPr>
            </w:pPr>
            <w:r w:rsidRPr="00C910DB">
              <w:rPr>
                <w:rFonts w:asciiTheme="minorHAnsi" w:hAnsiTheme="minorHAnsi"/>
                <w:b/>
                <w:i/>
                <w:sz w:val="22"/>
                <w:szCs w:val="22"/>
              </w:rPr>
              <w:t xml:space="preserve">POINTS </w:t>
            </w:r>
            <w:r w:rsidR="00F1738E">
              <w:rPr>
                <w:rFonts w:asciiTheme="minorHAnsi" w:hAnsiTheme="minorHAnsi"/>
                <w:b/>
                <w:i/>
                <w:sz w:val="22"/>
                <w:szCs w:val="22"/>
              </w:rPr>
              <w:t>TO CONSIDER</w:t>
            </w:r>
            <w:r w:rsidRPr="00C910DB">
              <w:rPr>
                <w:rFonts w:asciiTheme="minorHAnsi" w:hAnsiTheme="minorHAnsi"/>
                <w:b/>
                <w:i/>
                <w:sz w:val="22"/>
                <w:szCs w:val="22"/>
              </w:rPr>
              <w:t>:</w:t>
            </w:r>
          </w:p>
          <w:p w14:paraId="15F5F7A2" w14:textId="77777777" w:rsidR="00C910DB" w:rsidRPr="00F23B03" w:rsidRDefault="00C910DB" w:rsidP="00C910DB">
            <w:pPr>
              <w:jc w:val="both"/>
              <w:rPr>
                <w:rFonts w:asciiTheme="minorHAnsi" w:hAnsiTheme="minorHAnsi"/>
                <w:b w:val="0"/>
                <w:sz w:val="12"/>
                <w:szCs w:val="12"/>
              </w:rPr>
            </w:pPr>
          </w:p>
          <w:p w14:paraId="4DAFA6C8" w14:textId="0D2648D4" w:rsidR="00F23B03" w:rsidRDefault="00C910DB" w:rsidP="004C28F6">
            <w:pPr>
              <w:pStyle w:val="PlainText"/>
              <w:numPr>
                <w:ilvl w:val="0"/>
                <w:numId w:val="9"/>
              </w:numPr>
              <w:jc w:val="both"/>
              <w:rPr>
                <w:rFonts w:asciiTheme="minorHAnsi" w:hAnsiTheme="minorHAnsi"/>
                <w:sz w:val="22"/>
                <w:szCs w:val="22"/>
              </w:rPr>
            </w:pPr>
            <w:r w:rsidRPr="00C910DB">
              <w:rPr>
                <w:rFonts w:asciiTheme="minorHAnsi" w:hAnsiTheme="minorHAnsi"/>
                <w:sz w:val="22"/>
                <w:szCs w:val="22"/>
              </w:rPr>
              <w:t xml:space="preserve">Be aware that agencies likely </w:t>
            </w:r>
            <w:r>
              <w:rPr>
                <w:rFonts w:asciiTheme="minorHAnsi" w:hAnsiTheme="minorHAnsi"/>
                <w:sz w:val="22"/>
                <w:szCs w:val="22"/>
              </w:rPr>
              <w:t xml:space="preserve">will review </w:t>
            </w:r>
            <w:r w:rsidRPr="00C910DB">
              <w:rPr>
                <w:rFonts w:asciiTheme="minorHAnsi" w:hAnsiTheme="minorHAnsi"/>
                <w:sz w:val="22"/>
                <w:szCs w:val="22"/>
              </w:rPr>
              <w:t>audit results and could be looking for other ways to evaluate risk</w:t>
            </w:r>
            <w:r w:rsidR="00F23B03">
              <w:rPr>
                <w:rFonts w:asciiTheme="minorHAnsi" w:hAnsiTheme="minorHAnsi"/>
                <w:sz w:val="22"/>
                <w:szCs w:val="22"/>
              </w:rPr>
              <w:t>.</w:t>
            </w:r>
          </w:p>
          <w:p w14:paraId="007A1249" w14:textId="77777777" w:rsidR="00AE5625" w:rsidRDefault="00F23B03" w:rsidP="00C910DB">
            <w:pPr>
              <w:pStyle w:val="PlainText"/>
              <w:numPr>
                <w:ilvl w:val="0"/>
                <w:numId w:val="9"/>
              </w:numPr>
              <w:jc w:val="both"/>
              <w:rPr>
                <w:rFonts w:asciiTheme="minorHAnsi" w:hAnsiTheme="minorHAnsi"/>
                <w:bCs/>
                <w:sz w:val="22"/>
                <w:szCs w:val="22"/>
              </w:rPr>
            </w:pPr>
            <w:r w:rsidRPr="00C910DB">
              <w:rPr>
                <w:rFonts w:asciiTheme="minorHAnsi" w:hAnsiTheme="minorHAnsi"/>
                <w:bCs/>
                <w:sz w:val="22"/>
                <w:szCs w:val="22"/>
              </w:rPr>
              <w:t xml:space="preserve">Notify COGR staff if it appears </w:t>
            </w:r>
            <w:r w:rsidRPr="00C910DB">
              <w:rPr>
                <w:rFonts w:asciiTheme="minorHAnsi" w:hAnsiTheme="minorHAnsi"/>
                <w:sz w:val="22"/>
                <w:szCs w:val="22"/>
              </w:rPr>
              <w:t>agencies are making determinations based on other criteria, particularly if the agency determines anything other than low-risk AND what the agency does to mitigate the perceived risk (e.g. more r</w:t>
            </w:r>
            <w:r>
              <w:rPr>
                <w:rFonts w:asciiTheme="minorHAnsi" w:hAnsiTheme="minorHAnsi"/>
                <w:sz w:val="22"/>
                <w:szCs w:val="22"/>
              </w:rPr>
              <w:t>estrictive terms and conditions)</w:t>
            </w:r>
            <w:r w:rsidR="00C910DB" w:rsidRPr="00C910DB">
              <w:rPr>
                <w:rFonts w:asciiTheme="minorHAnsi" w:hAnsiTheme="minorHAnsi"/>
                <w:bCs/>
                <w:sz w:val="22"/>
                <w:szCs w:val="22"/>
              </w:rPr>
              <w:t>.</w:t>
            </w:r>
          </w:p>
          <w:p w14:paraId="30CB1998" w14:textId="1AA67F9B" w:rsidR="00F1738E" w:rsidRPr="00F1738E" w:rsidRDefault="00F1738E" w:rsidP="00F1738E">
            <w:pPr>
              <w:pStyle w:val="PlainText"/>
              <w:ind w:left="360"/>
              <w:jc w:val="both"/>
              <w:rPr>
                <w:rFonts w:asciiTheme="minorHAnsi" w:hAnsiTheme="minorHAnsi"/>
                <w:bCs/>
                <w:sz w:val="22"/>
                <w:szCs w:val="22"/>
              </w:rPr>
            </w:pPr>
          </w:p>
        </w:tc>
      </w:tr>
      <w:tr w:rsidR="00AE5625" w:rsidRPr="004A46A7" w14:paraId="33493AF5" w14:textId="77777777" w:rsidTr="000D538B">
        <w:trPr>
          <w:trHeight w:val="432"/>
        </w:trPr>
        <w:tc>
          <w:tcPr>
            <w:tcW w:w="518" w:type="dxa"/>
          </w:tcPr>
          <w:p w14:paraId="4E6E36FB" w14:textId="669E231E" w:rsidR="00AE5625" w:rsidRPr="00DD2917" w:rsidRDefault="00AE5625" w:rsidP="004F3E45">
            <w:pPr>
              <w:pStyle w:val="PlainText"/>
              <w:jc w:val="center"/>
              <w:rPr>
                <w:rFonts w:asciiTheme="minorHAnsi" w:hAnsiTheme="minorHAnsi" w:cs="Times New Roman"/>
                <w:b/>
                <w:sz w:val="22"/>
                <w:szCs w:val="22"/>
              </w:rPr>
            </w:pPr>
            <w:r>
              <w:rPr>
                <w:b/>
              </w:rPr>
              <w:lastRenderedPageBreak/>
              <w:br w:type="page"/>
              <w:t>4.</w:t>
            </w:r>
          </w:p>
        </w:tc>
        <w:tc>
          <w:tcPr>
            <w:tcW w:w="1872" w:type="dxa"/>
          </w:tcPr>
          <w:p w14:paraId="7540153F" w14:textId="3DCEC7CC" w:rsidR="00AE5625" w:rsidRDefault="00AE5625" w:rsidP="006808E9">
            <w:pPr>
              <w:pStyle w:val="PlainText"/>
              <w:jc w:val="center"/>
              <w:rPr>
                <w:rFonts w:asciiTheme="minorHAnsi" w:hAnsiTheme="minorHAnsi"/>
                <w:b/>
                <w:i/>
                <w:sz w:val="22"/>
                <w:szCs w:val="22"/>
              </w:rPr>
            </w:pPr>
            <w:r>
              <w:rPr>
                <w:rFonts w:asciiTheme="minorHAnsi" w:hAnsiTheme="minorHAnsi"/>
                <w:b/>
                <w:i/>
                <w:sz w:val="22"/>
                <w:szCs w:val="22"/>
              </w:rPr>
              <w:t>Agencies can use only OMB approved information collections</w:t>
            </w:r>
          </w:p>
          <w:p w14:paraId="367BF877" w14:textId="40D3BC7E" w:rsidR="00AE5625" w:rsidRPr="00DD2917" w:rsidRDefault="00AE5625" w:rsidP="006808E9">
            <w:pPr>
              <w:pStyle w:val="PlainText"/>
              <w:jc w:val="center"/>
              <w:rPr>
                <w:rFonts w:asciiTheme="minorHAnsi" w:hAnsiTheme="minorHAnsi"/>
                <w:b/>
                <w:i/>
                <w:sz w:val="12"/>
                <w:szCs w:val="12"/>
              </w:rPr>
            </w:pPr>
          </w:p>
          <w:p w14:paraId="4CF7BA55" w14:textId="15F31062" w:rsidR="00AE5625" w:rsidRDefault="00AE5625" w:rsidP="006808E9">
            <w:pPr>
              <w:pStyle w:val="PlainText"/>
              <w:jc w:val="center"/>
              <w:rPr>
                <w:rFonts w:asciiTheme="minorHAnsi" w:hAnsiTheme="minorHAnsi" w:cs="Times New Roman"/>
                <w:b/>
                <w:i/>
                <w:sz w:val="22"/>
                <w:szCs w:val="22"/>
              </w:rPr>
            </w:pPr>
            <w:r>
              <w:rPr>
                <w:rFonts w:asciiTheme="minorHAnsi" w:hAnsiTheme="minorHAnsi" w:cs="Times New Roman"/>
                <w:b/>
                <w:i/>
                <w:sz w:val="22"/>
                <w:szCs w:val="22"/>
              </w:rPr>
              <w:t>(200.206)</w:t>
            </w:r>
          </w:p>
          <w:p w14:paraId="56B42532" w14:textId="77777777" w:rsidR="00AE5625" w:rsidRPr="004F3E45" w:rsidRDefault="00AE5625" w:rsidP="006808E9">
            <w:pPr>
              <w:pStyle w:val="PlainText"/>
              <w:jc w:val="center"/>
              <w:rPr>
                <w:rFonts w:asciiTheme="minorHAnsi" w:hAnsiTheme="minorHAnsi" w:cs="Times New Roman"/>
                <w:b/>
                <w:i/>
                <w:sz w:val="12"/>
                <w:szCs w:val="12"/>
              </w:rPr>
            </w:pPr>
          </w:p>
        </w:tc>
        <w:tc>
          <w:tcPr>
            <w:tcW w:w="12283" w:type="dxa"/>
          </w:tcPr>
          <w:p w14:paraId="5803D298" w14:textId="2B81BE0B" w:rsidR="00AE5625" w:rsidRPr="004F3E45" w:rsidRDefault="001977BA" w:rsidP="004F3E45">
            <w:pPr>
              <w:pStyle w:val="PlainText"/>
              <w:jc w:val="both"/>
              <w:rPr>
                <w:rFonts w:asciiTheme="minorHAnsi" w:hAnsiTheme="minorHAnsi"/>
                <w:bCs/>
                <w:sz w:val="22"/>
                <w:szCs w:val="22"/>
              </w:rPr>
            </w:pPr>
            <w:r>
              <w:rPr>
                <w:rFonts w:asciiTheme="minorHAnsi" w:hAnsiTheme="minorHAnsi"/>
                <w:bCs/>
                <w:sz w:val="22"/>
                <w:szCs w:val="22"/>
              </w:rPr>
              <w:t xml:space="preserve">200.206(a) states that the </w:t>
            </w:r>
            <w:r w:rsidR="00AE5625" w:rsidRPr="004F3E45">
              <w:rPr>
                <w:rFonts w:asciiTheme="minorHAnsi" w:hAnsiTheme="minorHAnsi" w:cs="Courier"/>
                <w:sz w:val="22"/>
                <w:szCs w:val="22"/>
              </w:rPr>
              <w:t>Federal awarding agency may only use application information collections approved by OMB under the Paperwork Reduction Act of 1995 and OMB’s implementing regulations in 5 CFR Part 1320, Controlling Paperwork Burdens on the Public</w:t>
            </w:r>
            <w:r w:rsidR="00AE5625" w:rsidRPr="004F3E45">
              <w:rPr>
                <w:rFonts w:asciiTheme="minorHAnsi" w:hAnsiTheme="minorHAnsi"/>
                <w:bCs/>
                <w:sz w:val="22"/>
                <w:szCs w:val="22"/>
              </w:rPr>
              <w:t>.</w:t>
            </w:r>
          </w:p>
          <w:p w14:paraId="25B2EC7C" w14:textId="5CEAC346" w:rsidR="00AE5625" w:rsidRPr="00F1738E" w:rsidRDefault="00AE5625" w:rsidP="004F3E45">
            <w:pPr>
              <w:pStyle w:val="PlainText"/>
              <w:jc w:val="both"/>
              <w:rPr>
                <w:rFonts w:asciiTheme="minorHAnsi" w:hAnsiTheme="minorHAnsi"/>
                <w:bCs/>
                <w:sz w:val="22"/>
                <w:szCs w:val="22"/>
              </w:rPr>
            </w:pPr>
          </w:p>
          <w:p w14:paraId="489CCEF5" w14:textId="4969B122" w:rsidR="001977BA" w:rsidRPr="00E258A1" w:rsidRDefault="00F1738E" w:rsidP="001977BA">
            <w:pPr>
              <w:pStyle w:val="TableContents"/>
              <w:jc w:val="both"/>
              <w:rPr>
                <w:rFonts w:asciiTheme="minorHAnsi" w:hAnsiTheme="minorHAnsi"/>
                <w:b/>
                <w:i/>
                <w:sz w:val="22"/>
                <w:szCs w:val="22"/>
              </w:rPr>
            </w:pPr>
            <w:r w:rsidRPr="00C910DB">
              <w:rPr>
                <w:rFonts w:asciiTheme="minorHAnsi" w:hAnsiTheme="minorHAnsi"/>
                <w:b/>
                <w:i/>
                <w:sz w:val="22"/>
                <w:szCs w:val="22"/>
              </w:rPr>
              <w:t xml:space="preserve">POINTS </w:t>
            </w:r>
            <w:r>
              <w:rPr>
                <w:rFonts w:asciiTheme="minorHAnsi" w:hAnsiTheme="minorHAnsi"/>
                <w:b/>
                <w:i/>
                <w:sz w:val="22"/>
                <w:szCs w:val="22"/>
              </w:rPr>
              <w:t>TO CONSIDER</w:t>
            </w:r>
            <w:r w:rsidR="001977BA" w:rsidRPr="00E258A1">
              <w:rPr>
                <w:rFonts w:asciiTheme="minorHAnsi" w:hAnsiTheme="minorHAnsi"/>
                <w:b/>
                <w:i/>
                <w:sz w:val="22"/>
                <w:szCs w:val="22"/>
              </w:rPr>
              <w:t>:</w:t>
            </w:r>
          </w:p>
          <w:p w14:paraId="42BC669E" w14:textId="77777777" w:rsidR="001977BA" w:rsidRPr="00F1738E" w:rsidRDefault="001977BA" w:rsidP="001977BA">
            <w:pPr>
              <w:jc w:val="both"/>
              <w:rPr>
                <w:rFonts w:ascii="Calibri" w:hAnsi="Calibri"/>
                <w:b w:val="0"/>
                <w:sz w:val="12"/>
                <w:szCs w:val="12"/>
              </w:rPr>
            </w:pPr>
          </w:p>
          <w:p w14:paraId="1EE35978" w14:textId="5A1DDF43" w:rsidR="00F23B03" w:rsidRPr="00F91B6A" w:rsidRDefault="00F23B03" w:rsidP="004C28F6">
            <w:pPr>
              <w:pStyle w:val="ListParagraph"/>
              <w:numPr>
                <w:ilvl w:val="0"/>
                <w:numId w:val="10"/>
              </w:numPr>
              <w:jc w:val="both"/>
              <w:rPr>
                <w:rFonts w:ascii="Calibri" w:hAnsi="Calibri"/>
                <w:sz w:val="22"/>
                <w:szCs w:val="22"/>
              </w:rPr>
            </w:pPr>
            <w:r>
              <w:rPr>
                <w:sz w:val="22"/>
                <w:szCs w:val="22"/>
              </w:rPr>
              <w:t>Contact</w:t>
            </w:r>
            <w:r w:rsidRPr="00012102">
              <w:rPr>
                <w:bCs/>
                <w:sz w:val="22"/>
                <w:szCs w:val="22"/>
              </w:rPr>
              <w:t xml:space="preserve"> </w:t>
            </w:r>
            <w:r w:rsidR="00E55291">
              <w:rPr>
                <w:bCs/>
                <w:sz w:val="22"/>
                <w:szCs w:val="22"/>
              </w:rPr>
              <w:t>Federal</w:t>
            </w:r>
            <w:r>
              <w:rPr>
                <w:bCs/>
                <w:sz w:val="22"/>
                <w:szCs w:val="22"/>
              </w:rPr>
              <w:t xml:space="preserve"> officials </w:t>
            </w:r>
            <w:r w:rsidRPr="00012102">
              <w:rPr>
                <w:bCs/>
                <w:sz w:val="22"/>
                <w:szCs w:val="22"/>
              </w:rPr>
              <w:t>when there are deviations</w:t>
            </w:r>
            <w:r>
              <w:rPr>
                <w:bCs/>
                <w:sz w:val="22"/>
                <w:szCs w:val="22"/>
              </w:rPr>
              <w:t xml:space="preserve"> and ask for documentation and justification.</w:t>
            </w:r>
          </w:p>
          <w:p w14:paraId="576DF319" w14:textId="77777777" w:rsidR="00AE5625" w:rsidRPr="00F1738E" w:rsidRDefault="00F23B03" w:rsidP="004F3E45">
            <w:pPr>
              <w:pStyle w:val="ListParagraph"/>
              <w:numPr>
                <w:ilvl w:val="0"/>
                <w:numId w:val="10"/>
              </w:numPr>
              <w:jc w:val="both"/>
              <w:rPr>
                <w:rFonts w:ascii="Calibri" w:hAnsi="Calibri"/>
                <w:sz w:val="22"/>
                <w:szCs w:val="22"/>
              </w:rPr>
            </w:pPr>
            <w:r>
              <w:rPr>
                <w:bCs/>
                <w:sz w:val="22"/>
                <w:szCs w:val="22"/>
              </w:rPr>
              <w:t>Notify COGR staff to document deviations.</w:t>
            </w:r>
          </w:p>
          <w:p w14:paraId="61440A92" w14:textId="2205E6A4" w:rsidR="00F1738E" w:rsidRPr="00F1738E" w:rsidRDefault="00F1738E" w:rsidP="00F1738E">
            <w:pPr>
              <w:ind w:left="360"/>
              <w:jc w:val="both"/>
              <w:rPr>
                <w:rFonts w:ascii="Calibri" w:hAnsi="Calibri"/>
                <w:sz w:val="22"/>
                <w:szCs w:val="22"/>
              </w:rPr>
            </w:pPr>
          </w:p>
        </w:tc>
      </w:tr>
      <w:tr w:rsidR="00AE5625" w:rsidRPr="004A46A7" w14:paraId="04A25BA6" w14:textId="77777777" w:rsidTr="000D538B">
        <w:trPr>
          <w:trHeight w:val="432"/>
        </w:trPr>
        <w:tc>
          <w:tcPr>
            <w:tcW w:w="518" w:type="dxa"/>
          </w:tcPr>
          <w:p w14:paraId="75AE89B3" w14:textId="543065B5" w:rsidR="00AE5625" w:rsidRPr="00DD2917" w:rsidRDefault="00AE5625" w:rsidP="001977BA">
            <w:pPr>
              <w:pStyle w:val="PlainText"/>
              <w:jc w:val="center"/>
              <w:rPr>
                <w:rFonts w:asciiTheme="minorHAnsi" w:hAnsiTheme="minorHAnsi" w:cs="Times New Roman"/>
                <w:b/>
                <w:sz w:val="22"/>
                <w:szCs w:val="22"/>
              </w:rPr>
            </w:pPr>
            <w:r>
              <w:rPr>
                <w:b/>
              </w:rPr>
              <w:br w:type="page"/>
            </w:r>
            <w:r w:rsidR="001977BA">
              <w:rPr>
                <w:b/>
              </w:rPr>
              <w:t>5</w:t>
            </w:r>
            <w:r>
              <w:rPr>
                <w:rFonts w:asciiTheme="minorHAnsi" w:hAnsiTheme="minorHAnsi" w:cs="Times New Roman"/>
                <w:b/>
                <w:sz w:val="22"/>
                <w:szCs w:val="22"/>
              </w:rPr>
              <w:t>.</w:t>
            </w:r>
          </w:p>
        </w:tc>
        <w:tc>
          <w:tcPr>
            <w:tcW w:w="1872" w:type="dxa"/>
          </w:tcPr>
          <w:p w14:paraId="43E58DAA" w14:textId="77777777" w:rsidR="00AE5625" w:rsidRDefault="00AE5625" w:rsidP="006808E9">
            <w:pPr>
              <w:pStyle w:val="PlainText"/>
              <w:jc w:val="center"/>
              <w:rPr>
                <w:rFonts w:asciiTheme="minorHAnsi" w:hAnsiTheme="minorHAnsi"/>
                <w:b/>
                <w:i/>
                <w:sz w:val="22"/>
                <w:szCs w:val="22"/>
              </w:rPr>
            </w:pPr>
            <w:r>
              <w:rPr>
                <w:rFonts w:asciiTheme="minorHAnsi" w:hAnsiTheme="minorHAnsi"/>
                <w:b/>
                <w:i/>
                <w:sz w:val="22"/>
                <w:szCs w:val="22"/>
              </w:rPr>
              <w:t>Agencies (and Primes) are required to use the negotiated F&amp;A rate</w:t>
            </w:r>
          </w:p>
          <w:p w14:paraId="5878937D" w14:textId="77777777" w:rsidR="00AE5625" w:rsidRPr="00DD2917" w:rsidRDefault="00AE5625" w:rsidP="006808E9">
            <w:pPr>
              <w:pStyle w:val="PlainText"/>
              <w:jc w:val="center"/>
              <w:rPr>
                <w:rFonts w:asciiTheme="minorHAnsi" w:hAnsiTheme="minorHAnsi"/>
                <w:b/>
                <w:i/>
                <w:sz w:val="12"/>
                <w:szCs w:val="12"/>
              </w:rPr>
            </w:pPr>
          </w:p>
          <w:p w14:paraId="24BF0F5C" w14:textId="3D0E68DA" w:rsidR="00AE5625" w:rsidRDefault="00AE5625" w:rsidP="006808E9">
            <w:pPr>
              <w:pStyle w:val="PlainText"/>
              <w:jc w:val="center"/>
              <w:rPr>
                <w:rFonts w:asciiTheme="minorHAnsi" w:hAnsiTheme="minorHAnsi" w:cs="Times New Roman"/>
                <w:b/>
                <w:i/>
                <w:sz w:val="22"/>
                <w:szCs w:val="22"/>
              </w:rPr>
            </w:pPr>
            <w:r>
              <w:rPr>
                <w:rFonts w:asciiTheme="minorHAnsi" w:hAnsiTheme="minorHAnsi" w:cs="Times New Roman"/>
                <w:b/>
                <w:i/>
                <w:sz w:val="22"/>
                <w:szCs w:val="22"/>
              </w:rPr>
              <w:t>(200.41</w:t>
            </w:r>
            <w:r w:rsidR="001977BA">
              <w:rPr>
                <w:rFonts w:asciiTheme="minorHAnsi" w:hAnsiTheme="minorHAnsi" w:cs="Times New Roman"/>
                <w:b/>
                <w:i/>
                <w:sz w:val="22"/>
                <w:szCs w:val="22"/>
              </w:rPr>
              <w:t>4</w:t>
            </w:r>
            <w:r>
              <w:rPr>
                <w:rFonts w:asciiTheme="minorHAnsi" w:hAnsiTheme="minorHAnsi" w:cs="Times New Roman"/>
                <w:b/>
                <w:i/>
                <w:sz w:val="22"/>
                <w:szCs w:val="22"/>
              </w:rPr>
              <w:t>)</w:t>
            </w:r>
          </w:p>
          <w:p w14:paraId="50BCF3F1" w14:textId="77777777" w:rsidR="00AE5625" w:rsidRPr="004F3E45" w:rsidRDefault="00AE5625" w:rsidP="006808E9">
            <w:pPr>
              <w:pStyle w:val="PlainText"/>
              <w:jc w:val="center"/>
              <w:rPr>
                <w:rFonts w:asciiTheme="minorHAnsi" w:hAnsiTheme="minorHAnsi" w:cs="Times New Roman"/>
                <w:b/>
                <w:i/>
                <w:sz w:val="12"/>
                <w:szCs w:val="12"/>
              </w:rPr>
            </w:pPr>
          </w:p>
        </w:tc>
        <w:tc>
          <w:tcPr>
            <w:tcW w:w="12283" w:type="dxa"/>
          </w:tcPr>
          <w:p w14:paraId="7BE7553D" w14:textId="0CDBE0BA" w:rsidR="00AE5625" w:rsidRPr="00E2509F" w:rsidRDefault="001977BA" w:rsidP="006808E9">
            <w:pPr>
              <w:pStyle w:val="PlainText"/>
              <w:jc w:val="both"/>
              <w:rPr>
                <w:rFonts w:asciiTheme="minorHAnsi" w:hAnsiTheme="minorHAnsi"/>
                <w:bCs/>
                <w:sz w:val="22"/>
                <w:szCs w:val="22"/>
              </w:rPr>
            </w:pPr>
            <w:r>
              <w:rPr>
                <w:rFonts w:asciiTheme="minorHAnsi" w:hAnsiTheme="minorHAnsi"/>
                <w:bCs/>
                <w:sz w:val="22"/>
                <w:szCs w:val="22"/>
              </w:rPr>
              <w:t xml:space="preserve">200.414(c) states that when </w:t>
            </w:r>
            <w:r w:rsidR="00AE5625">
              <w:rPr>
                <w:rFonts w:asciiTheme="minorHAnsi" w:hAnsiTheme="minorHAnsi"/>
                <w:bCs/>
                <w:sz w:val="22"/>
                <w:szCs w:val="22"/>
              </w:rPr>
              <w:t xml:space="preserve">there are deviations, Federal agency heads are required to notify OMB and to make publically available the decision making criteria </w:t>
            </w:r>
            <w:r w:rsidR="00AE5625" w:rsidRPr="00E2509F">
              <w:rPr>
                <w:rFonts w:asciiTheme="minorHAnsi" w:hAnsiTheme="minorHAnsi"/>
                <w:bCs/>
                <w:sz w:val="22"/>
                <w:szCs w:val="22"/>
              </w:rPr>
              <w:t>used to justify the deviations.</w:t>
            </w:r>
          </w:p>
          <w:p w14:paraId="76B0C6F4" w14:textId="77777777" w:rsidR="001977BA" w:rsidRDefault="001977BA" w:rsidP="004F3E45">
            <w:pPr>
              <w:pStyle w:val="PlainText"/>
              <w:jc w:val="both"/>
              <w:rPr>
                <w:rFonts w:asciiTheme="minorHAnsi" w:hAnsiTheme="minorHAnsi"/>
                <w:bCs/>
                <w:sz w:val="22"/>
                <w:szCs w:val="22"/>
                <w:u w:val="single"/>
              </w:rPr>
            </w:pPr>
          </w:p>
          <w:p w14:paraId="296ACD33" w14:textId="551CCD3F" w:rsidR="001977BA" w:rsidRPr="00E258A1" w:rsidRDefault="00F1738E" w:rsidP="001977BA">
            <w:pPr>
              <w:pStyle w:val="TableContents"/>
              <w:jc w:val="both"/>
              <w:rPr>
                <w:rFonts w:asciiTheme="minorHAnsi" w:hAnsiTheme="minorHAnsi"/>
                <w:b/>
                <w:i/>
                <w:sz w:val="22"/>
                <w:szCs w:val="22"/>
              </w:rPr>
            </w:pPr>
            <w:r w:rsidRPr="00C910DB">
              <w:rPr>
                <w:rFonts w:asciiTheme="minorHAnsi" w:hAnsiTheme="minorHAnsi"/>
                <w:b/>
                <w:i/>
                <w:sz w:val="22"/>
                <w:szCs w:val="22"/>
              </w:rPr>
              <w:t xml:space="preserve">POINTS </w:t>
            </w:r>
            <w:r>
              <w:rPr>
                <w:rFonts w:asciiTheme="minorHAnsi" w:hAnsiTheme="minorHAnsi"/>
                <w:b/>
                <w:i/>
                <w:sz w:val="22"/>
                <w:szCs w:val="22"/>
              </w:rPr>
              <w:t>TO CONSIDER</w:t>
            </w:r>
            <w:r w:rsidR="001977BA" w:rsidRPr="00E258A1">
              <w:rPr>
                <w:rFonts w:asciiTheme="minorHAnsi" w:hAnsiTheme="minorHAnsi"/>
                <w:b/>
                <w:i/>
                <w:sz w:val="22"/>
                <w:szCs w:val="22"/>
              </w:rPr>
              <w:t>:</w:t>
            </w:r>
          </w:p>
          <w:p w14:paraId="014EF665" w14:textId="77777777" w:rsidR="001977BA" w:rsidRPr="00F1738E" w:rsidRDefault="001977BA" w:rsidP="001977BA">
            <w:pPr>
              <w:jc w:val="both"/>
              <w:rPr>
                <w:rFonts w:ascii="Calibri" w:hAnsi="Calibri"/>
                <w:b w:val="0"/>
                <w:sz w:val="12"/>
                <w:szCs w:val="12"/>
              </w:rPr>
            </w:pPr>
          </w:p>
          <w:p w14:paraId="68FF52DE" w14:textId="0E86DA5D" w:rsidR="00F91B6A" w:rsidRDefault="001977BA" w:rsidP="004C28F6">
            <w:pPr>
              <w:pStyle w:val="PlainText"/>
              <w:numPr>
                <w:ilvl w:val="0"/>
                <w:numId w:val="11"/>
              </w:numPr>
              <w:jc w:val="both"/>
              <w:rPr>
                <w:rFonts w:asciiTheme="minorHAnsi" w:hAnsiTheme="minorHAnsi"/>
                <w:bCs/>
                <w:sz w:val="22"/>
                <w:szCs w:val="22"/>
              </w:rPr>
            </w:pPr>
            <w:r>
              <w:rPr>
                <w:rFonts w:asciiTheme="minorHAnsi" w:hAnsiTheme="minorHAnsi"/>
                <w:sz w:val="22"/>
                <w:szCs w:val="22"/>
              </w:rPr>
              <w:t xml:space="preserve">Contact </w:t>
            </w:r>
            <w:r w:rsidR="00E55291">
              <w:rPr>
                <w:rFonts w:asciiTheme="minorHAnsi" w:hAnsiTheme="minorHAnsi"/>
                <w:bCs/>
                <w:sz w:val="22"/>
                <w:szCs w:val="22"/>
              </w:rPr>
              <w:t>Federal</w:t>
            </w:r>
            <w:r>
              <w:rPr>
                <w:rFonts w:asciiTheme="minorHAnsi" w:hAnsiTheme="minorHAnsi"/>
                <w:bCs/>
                <w:sz w:val="22"/>
                <w:szCs w:val="22"/>
              </w:rPr>
              <w:t xml:space="preserve"> officials </w:t>
            </w:r>
            <w:r w:rsidRPr="00012102">
              <w:rPr>
                <w:rFonts w:asciiTheme="minorHAnsi" w:hAnsiTheme="minorHAnsi"/>
                <w:bCs/>
                <w:sz w:val="22"/>
                <w:szCs w:val="22"/>
              </w:rPr>
              <w:t>when there are deviations</w:t>
            </w:r>
            <w:r>
              <w:rPr>
                <w:rFonts w:asciiTheme="minorHAnsi" w:hAnsiTheme="minorHAnsi"/>
                <w:bCs/>
                <w:sz w:val="22"/>
                <w:szCs w:val="22"/>
              </w:rPr>
              <w:t xml:space="preserve"> and ask for documentation and justification</w:t>
            </w:r>
            <w:r w:rsidR="00F91B6A">
              <w:rPr>
                <w:rFonts w:asciiTheme="minorHAnsi" w:hAnsiTheme="minorHAnsi"/>
                <w:bCs/>
                <w:sz w:val="22"/>
                <w:szCs w:val="22"/>
              </w:rPr>
              <w:t>.</w:t>
            </w:r>
          </w:p>
          <w:p w14:paraId="4D4F4480" w14:textId="66BFB640" w:rsidR="001977BA" w:rsidRDefault="00F91B6A" w:rsidP="004C28F6">
            <w:pPr>
              <w:pStyle w:val="PlainText"/>
              <w:numPr>
                <w:ilvl w:val="0"/>
                <w:numId w:val="11"/>
              </w:numPr>
              <w:jc w:val="both"/>
              <w:rPr>
                <w:rFonts w:asciiTheme="minorHAnsi" w:hAnsiTheme="minorHAnsi"/>
                <w:bCs/>
                <w:sz w:val="22"/>
                <w:szCs w:val="22"/>
              </w:rPr>
            </w:pPr>
            <w:r>
              <w:rPr>
                <w:rFonts w:asciiTheme="minorHAnsi" w:hAnsiTheme="minorHAnsi"/>
                <w:bCs/>
                <w:sz w:val="22"/>
                <w:szCs w:val="22"/>
              </w:rPr>
              <w:t>Notify COGR staff to document deviations</w:t>
            </w:r>
            <w:r w:rsidR="001977BA">
              <w:rPr>
                <w:rFonts w:asciiTheme="minorHAnsi" w:hAnsiTheme="minorHAnsi"/>
                <w:bCs/>
                <w:sz w:val="22"/>
                <w:szCs w:val="22"/>
              </w:rPr>
              <w:t>.</w:t>
            </w:r>
          </w:p>
          <w:p w14:paraId="63BFA125" w14:textId="7CA58163" w:rsidR="00F91B6A" w:rsidRDefault="00F91B6A" w:rsidP="004C28F6">
            <w:pPr>
              <w:pStyle w:val="PlainText"/>
              <w:numPr>
                <w:ilvl w:val="0"/>
                <w:numId w:val="11"/>
              </w:numPr>
              <w:jc w:val="both"/>
              <w:rPr>
                <w:rFonts w:asciiTheme="minorHAnsi" w:hAnsiTheme="minorHAnsi"/>
                <w:bCs/>
                <w:sz w:val="22"/>
                <w:szCs w:val="22"/>
              </w:rPr>
            </w:pPr>
            <w:r>
              <w:rPr>
                <w:rFonts w:asciiTheme="minorHAnsi" w:hAnsiTheme="minorHAnsi"/>
                <w:bCs/>
                <w:sz w:val="22"/>
                <w:szCs w:val="22"/>
              </w:rPr>
              <w:t>Consider how the institution will address F&amp;A restrictions imposed on Federal flow through from Prime recipients</w:t>
            </w:r>
            <w:r w:rsidR="00F1738E">
              <w:rPr>
                <w:rFonts w:asciiTheme="minorHAnsi" w:hAnsiTheme="minorHAnsi"/>
                <w:bCs/>
                <w:sz w:val="22"/>
                <w:szCs w:val="22"/>
              </w:rPr>
              <w:t>,</w:t>
            </w:r>
            <w:r>
              <w:rPr>
                <w:rFonts w:asciiTheme="minorHAnsi" w:hAnsiTheme="minorHAnsi"/>
                <w:bCs/>
                <w:sz w:val="22"/>
                <w:szCs w:val="22"/>
              </w:rPr>
              <w:t xml:space="preserve"> such as </w:t>
            </w:r>
            <w:r w:rsidR="00F1738E">
              <w:rPr>
                <w:rFonts w:asciiTheme="minorHAnsi" w:hAnsiTheme="minorHAnsi"/>
                <w:bCs/>
                <w:sz w:val="22"/>
                <w:szCs w:val="22"/>
              </w:rPr>
              <w:t xml:space="preserve">flow through funding from </w:t>
            </w:r>
            <w:r>
              <w:rPr>
                <w:rFonts w:asciiTheme="minorHAnsi" w:hAnsiTheme="minorHAnsi"/>
                <w:bCs/>
                <w:sz w:val="22"/>
                <w:szCs w:val="22"/>
              </w:rPr>
              <w:t>State and local government entities.</w:t>
            </w:r>
          </w:p>
          <w:p w14:paraId="39F4861E" w14:textId="71C64559" w:rsidR="00AE5625" w:rsidRPr="003B390D" w:rsidRDefault="00AE5625" w:rsidP="00F91B6A">
            <w:pPr>
              <w:pStyle w:val="PlainText"/>
              <w:jc w:val="both"/>
              <w:rPr>
                <w:rFonts w:asciiTheme="minorHAnsi" w:hAnsiTheme="minorHAnsi"/>
                <w:bCs/>
                <w:sz w:val="22"/>
                <w:szCs w:val="22"/>
              </w:rPr>
            </w:pPr>
          </w:p>
        </w:tc>
      </w:tr>
    </w:tbl>
    <w:p w14:paraId="63A2984A" w14:textId="2FF8E90F" w:rsidR="00EC4626" w:rsidRDefault="00EC4626" w:rsidP="008012EE">
      <w:pPr>
        <w:pStyle w:val="PlainText"/>
        <w:jc w:val="both"/>
        <w:rPr>
          <w:rFonts w:asciiTheme="minorHAnsi" w:hAnsiTheme="minorHAnsi" w:cs="Times New Roman"/>
          <w:sz w:val="22"/>
          <w:szCs w:val="22"/>
        </w:rPr>
      </w:pPr>
    </w:p>
    <w:p w14:paraId="6FB9366E" w14:textId="5E5F62BD" w:rsidR="00F91B6A" w:rsidRDefault="00F91B6A">
      <w:pPr>
        <w:spacing w:after="200" w:line="276" w:lineRule="auto"/>
        <w:rPr>
          <w:rFonts w:asciiTheme="minorHAnsi" w:eastAsiaTheme="minorHAnsi" w:hAnsiTheme="minorHAnsi"/>
          <w:b w:val="0"/>
          <w:sz w:val="22"/>
          <w:szCs w:val="22"/>
        </w:rPr>
      </w:pPr>
      <w:r>
        <w:rPr>
          <w:rFonts w:asciiTheme="minorHAnsi" w:hAnsiTheme="minorHAnsi"/>
          <w:sz w:val="22"/>
          <w:szCs w:val="22"/>
        </w:rPr>
        <w:br w:type="page"/>
      </w:r>
    </w:p>
    <w:tbl>
      <w:tblPr>
        <w:tblStyle w:val="TableGrid"/>
        <w:tblW w:w="14130" w:type="dxa"/>
        <w:tblInd w:w="108" w:type="dxa"/>
        <w:tblLook w:val="04A0" w:firstRow="1" w:lastRow="0" w:firstColumn="1" w:lastColumn="0" w:noHBand="0" w:noVBand="1"/>
      </w:tblPr>
      <w:tblGrid>
        <w:gridCol w:w="14130"/>
      </w:tblGrid>
      <w:tr w:rsidR="00FE6FED" w:rsidRPr="00B5307A" w14:paraId="7C261FA2" w14:textId="77777777" w:rsidTr="006808E9">
        <w:trPr>
          <w:trHeight w:val="288"/>
        </w:trPr>
        <w:tc>
          <w:tcPr>
            <w:tcW w:w="14130" w:type="dxa"/>
            <w:shd w:val="clear" w:color="auto" w:fill="EEECE1" w:themeFill="background2"/>
          </w:tcPr>
          <w:p w14:paraId="15CC7B6B" w14:textId="77777777" w:rsidR="00FE6FED" w:rsidRPr="003B390D" w:rsidRDefault="00FE6FED" w:rsidP="006808E9">
            <w:pPr>
              <w:pStyle w:val="NoSpacing"/>
              <w:jc w:val="center"/>
              <w:rPr>
                <w:b/>
                <w:i/>
                <w:sz w:val="12"/>
                <w:szCs w:val="12"/>
              </w:rPr>
            </w:pPr>
          </w:p>
          <w:p w14:paraId="60A77DED" w14:textId="77777777" w:rsidR="00FE6FED" w:rsidRPr="0029749C" w:rsidRDefault="00FE6FED" w:rsidP="006808E9">
            <w:pPr>
              <w:pStyle w:val="NoSpacing"/>
              <w:jc w:val="center"/>
              <w:rPr>
                <w:b/>
                <w:i/>
                <w:sz w:val="24"/>
                <w:szCs w:val="24"/>
              </w:rPr>
            </w:pPr>
            <w:r w:rsidRPr="0029749C">
              <w:rPr>
                <w:b/>
                <w:i/>
                <w:sz w:val="24"/>
                <w:szCs w:val="24"/>
              </w:rPr>
              <w:t xml:space="preserve">C. </w:t>
            </w:r>
            <w:r w:rsidR="006808E9">
              <w:rPr>
                <w:rFonts w:cs="Times New Roman"/>
                <w:b/>
                <w:i/>
                <w:sz w:val="24"/>
                <w:szCs w:val="24"/>
              </w:rPr>
              <w:t>AWARD ADMINISTRATION</w:t>
            </w:r>
          </w:p>
          <w:p w14:paraId="1496E6EF" w14:textId="77777777" w:rsidR="00FE6FED" w:rsidRPr="00F16946" w:rsidRDefault="00FE6FED" w:rsidP="006808E9">
            <w:pPr>
              <w:pStyle w:val="NoSpacing"/>
              <w:jc w:val="both"/>
              <w:rPr>
                <w:b/>
                <w:i/>
                <w:sz w:val="8"/>
                <w:szCs w:val="8"/>
              </w:rPr>
            </w:pPr>
          </w:p>
        </w:tc>
      </w:tr>
    </w:tbl>
    <w:p w14:paraId="5D988E9F" w14:textId="77777777" w:rsidR="00FE6FED" w:rsidRDefault="00FE6FED" w:rsidP="00FE6FED">
      <w:pPr>
        <w:pStyle w:val="PlainText"/>
        <w:jc w:val="both"/>
        <w:rPr>
          <w:rFonts w:asciiTheme="minorHAnsi" w:hAnsiTheme="minorHAnsi" w:cs="Times New Roman"/>
          <w:sz w:val="22"/>
          <w:szCs w:val="22"/>
        </w:rPr>
      </w:pPr>
    </w:p>
    <w:tbl>
      <w:tblPr>
        <w:tblStyle w:val="TableGrid"/>
        <w:tblW w:w="14673" w:type="dxa"/>
        <w:tblInd w:w="-162" w:type="dxa"/>
        <w:tblLayout w:type="fixed"/>
        <w:tblLook w:val="04A0" w:firstRow="1" w:lastRow="0" w:firstColumn="1" w:lastColumn="0" w:noHBand="0" w:noVBand="1"/>
      </w:tblPr>
      <w:tblGrid>
        <w:gridCol w:w="518"/>
        <w:gridCol w:w="1872"/>
        <w:gridCol w:w="12283"/>
      </w:tblGrid>
      <w:tr w:rsidR="00784225" w:rsidRPr="00A116C4" w14:paraId="5E72096B" w14:textId="77777777" w:rsidTr="000D538B">
        <w:trPr>
          <w:trHeight w:val="432"/>
        </w:trPr>
        <w:tc>
          <w:tcPr>
            <w:tcW w:w="518" w:type="dxa"/>
          </w:tcPr>
          <w:p w14:paraId="40A464DF" w14:textId="77777777" w:rsidR="00784225" w:rsidRPr="00D03BFC" w:rsidRDefault="00784225" w:rsidP="006808E9">
            <w:pPr>
              <w:pStyle w:val="PlainText"/>
              <w:jc w:val="center"/>
              <w:rPr>
                <w:rFonts w:asciiTheme="minorHAnsi" w:hAnsiTheme="minorHAnsi" w:cs="Times New Roman"/>
                <w:b/>
                <w:sz w:val="22"/>
                <w:szCs w:val="22"/>
              </w:rPr>
            </w:pPr>
          </w:p>
          <w:p w14:paraId="7DBE8331" w14:textId="77777777" w:rsidR="00784225" w:rsidRPr="00D03BFC" w:rsidRDefault="00784225" w:rsidP="006808E9">
            <w:pPr>
              <w:pStyle w:val="PlainText"/>
              <w:jc w:val="center"/>
              <w:rPr>
                <w:rFonts w:asciiTheme="minorHAnsi" w:hAnsiTheme="minorHAnsi" w:cs="Times New Roman"/>
                <w:b/>
                <w:sz w:val="22"/>
                <w:szCs w:val="22"/>
              </w:rPr>
            </w:pPr>
            <w:r w:rsidRPr="00D03BFC">
              <w:rPr>
                <w:rFonts w:asciiTheme="minorHAnsi" w:hAnsiTheme="minorHAnsi" w:cs="Times New Roman"/>
                <w:b/>
                <w:sz w:val="22"/>
                <w:szCs w:val="22"/>
              </w:rPr>
              <w:t>#</w:t>
            </w:r>
          </w:p>
        </w:tc>
        <w:tc>
          <w:tcPr>
            <w:tcW w:w="1872" w:type="dxa"/>
          </w:tcPr>
          <w:p w14:paraId="10BBFA3F" w14:textId="77777777" w:rsidR="00784225" w:rsidRDefault="00784225" w:rsidP="006808E9">
            <w:pPr>
              <w:pStyle w:val="PlainText"/>
              <w:jc w:val="center"/>
              <w:rPr>
                <w:rFonts w:asciiTheme="minorHAnsi" w:hAnsiTheme="minorHAnsi" w:cs="Times New Roman"/>
                <w:b/>
                <w:sz w:val="22"/>
                <w:szCs w:val="22"/>
              </w:rPr>
            </w:pPr>
          </w:p>
          <w:p w14:paraId="167BF7B7" w14:textId="77777777" w:rsidR="00784225" w:rsidRPr="00A116C4" w:rsidRDefault="00784225" w:rsidP="006808E9">
            <w:pPr>
              <w:pStyle w:val="PlainText"/>
              <w:jc w:val="center"/>
              <w:rPr>
                <w:rFonts w:asciiTheme="minorHAnsi" w:hAnsiTheme="minorHAnsi" w:cs="Times New Roman"/>
                <w:b/>
                <w:sz w:val="22"/>
                <w:szCs w:val="22"/>
              </w:rPr>
            </w:pPr>
            <w:r>
              <w:rPr>
                <w:rFonts w:asciiTheme="minorHAnsi" w:hAnsiTheme="minorHAnsi" w:cs="Times New Roman"/>
                <w:b/>
                <w:sz w:val="22"/>
                <w:szCs w:val="22"/>
              </w:rPr>
              <w:t>Item</w:t>
            </w:r>
          </w:p>
        </w:tc>
        <w:tc>
          <w:tcPr>
            <w:tcW w:w="12283" w:type="dxa"/>
          </w:tcPr>
          <w:p w14:paraId="2CDADD21" w14:textId="44AAB158" w:rsidR="00784225" w:rsidRDefault="00784225" w:rsidP="006808E9">
            <w:pPr>
              <w:pStyle w:val="PlainText"/>
              <w:jc w:val="center"/>
              <w:rPr>
                <w:rFonts w:asciiTheme="minorHAnsi" w:hAnsiTheme="minorHAnsi" w:cs="Times New Roman"/>
                <w:b/>
                <w:sz w:val="22"/>
                <w:szCs w:val="22"/>
              </w:rPr>
            </w:pPr>
            <w:r>
              <w:rPr>
                <w:rFonts w:asciiTheme="minorHAnsi" w:hAnsiTheme="minorHAnsi" w:cs="Times New Roman"/>
                <w:b/>
                <w:sz w:val="22"/>
                <w:szCs w:val="22"/>
              </w:rPr>
              <w:t>Summary and</w:t>
            </w:r>
          </w:p>
          <w:p w14:paraId="636216EC" w14:textId="629F4759" w:rsidR="00784225" w:rsidRPr="00A116C4" w:rsidRDefault="00784225" w:rsidP="000457A9">
            <w:pPr>
              <w:pStyle w:val="PlainText"/>
              <w:jc w:val="center"/>
              <w:rPr>
                <w:rFonts w:asciiTheme="minorHAnsi" w:hAnsiTheme="minorHAnsi" w:cs="Times New Roman"/>
                <w:b/>
                <w:sz w:val="22"/>
                <w:szCs w:val="22"/>
              </w:rPr>
            </w:pPr>
            <w:r>
              <w:rPr>
                <w:rFonts w:asciiTheme="minorHAnsi" w:hAnsiTheme="minorHAnsi" w:cs="Times New Roman"/>
                <w:b/>
                <w:sz w:val="22"/>
                <w:szCs w:val="22"/>
              </w:rPr>
              <w:t xml:space="preserve">Points </w:t>
            </w:r>
            <w:r w:rsidR="000457A9">
              <w:rPr>
                <w:rFonts w:asciiTheme="minorHAnsi" w:hAnsiTheme="minorHAnsi" w:cs="Times New Roman"/>
                <w:b/>
                <w:sz w:val="22"/>
                <w:szCs w:val="22"/>
              </w:rPr>
              <w:t xml:space="preserve">to </w:t>
            </w:r>
            <w:r>
              <w:rPr>
                <w:rFonts w:asciiTheme="minorHAnsi" w:hAnsiTheme="minorHAnsi" w:cs="Times New Roman"/>
                <w:b/>
                <w:sz w:val="22"/>
                <w:szCs w:val="22"/>
              </w:rPr>
              <w:t>Consider</w:t>
            </w:r>
          </w:p>
        </w:tc>
      </w:tr>
      <w:tr w:rsidR="00784225" w:rsidRPr="004A46A7" w14:paraId="4429E017" w14:textId="77777777" w:rsidTr="000D538B">
        <w:trPr>
          <w:trHeight w:val="144"/>
        </w:trPr>
        <w:tc>
          <w:tcPr>
            <w:tcW w:w="518" w:type="dxa"/>
          </w:tcPr>
          <w:p w14:paraId="57E02A1B" w14:textId="77777777" w:rsidR="00784225" w:rsidRPr="00D03BFC" w:rsidRDefault="00784225" w:rsidP="006808E9">
            <w:pPr>
              <w:pStyle w:val="PlainText"/>
              <w:jc w:val="center"/>
              <w:rPr>
                <w:rFonts w:asciiTheme="minorHAnsi" w:hAnsiTheme="minorHAnsi"/>
                <w:b/>
                <w:sz w:val="22"/>
                <w:szCs w:val="22"/>
              </w:rPr>
            </w:pPr>
          </w:p>
        </w:tc>
        <w:tc>
          <w:tcPr>
            <w:tcW w:w="1872" w:type="dxa"/>
          </w:tcPr>
          <w:p w14:paraId="4DBC3EA6" w14:textId="77777777" w:rsidR="00784225" w:rsidRDefault="00784225" w:rsidP="006808E9">
            <w:pPr>
              <w:pStyle w:val="PlainText"/>
              <w:jc w:val="center"/>
              <w:rPr>
                <w:rFonts w:asciiTheme="minorHAnsi" w:hAnsiTheme="minorHAnsi"/>
                <w:b/>
                <w:i/>
                <w:sz w:val="22"/>
                <w:szCs w:val="22"/>
              </w:rPr>
            </w:pPr>
          </w:p>
        </w:tc>
        <w:tc>
          <w:tcPr>
            <w:tcW w:w="12283" w:type="dxa"/>
          </w:tcPr>
          <w:p w14:paraId="49BC5546" w14:textId="77777777" w:rsidR="00784225" w:rsidRPr="00921CCA" w:rsidRDefault="00784225" w:rsidP="006808E9">
            <w:pPr>
              <w:pStyle w:val="PlainText"/>
              <w:jc w:val="both"/>
              <w:rPr>
                <w:rFonts w:asciiTheme="minorHAnsi" w:hAnsiTheme="minorHAnsi" w:cs="Courier"/>
                <w:sz w:val="22"/>
                <w:szCs w:val="22"/>
              </w:rPr>
            </w:pPr>
          </w:p>
        </w:tc>
      </w:tr>
      <w:tr w:rsidR="00784225" w:rsidRPr="004A46A7" w14:paraId="6158C8C2" w14:textId="77777777" w:rsidTr="000D538B">
        <w:trPr>
          <w:trHeight w:val="432"/>
        </w:trPr>
        <w:tc>
          <w:tcPr>
            <w:tcW w:w="518" w:type="dxa"/>
          </w:tcPr>
          <w:p w14:paraId="1586BD81" w14:textId="77777777" w:rsidR="00784225" w:rsidRPr="00D03BFC" w:rsidRDefault="00784225" w:rsidP="006808E9">
            <w:pPr>
              <w:pStyle w:val="PlainText"/>
              <w:jc w:val="center"/>
              <w:rPr>
                <w:rFonts w:asciiTheme="minorHAnsi" w:hAnsiTheme="minorHAnsi" w:cs="Times New Roman"/>
                <w:b/>
                <w:sz w:val="22"/>
                <w:szCs w:val="22"/>
              </w:rPr>
            </w:pPr>
            <w:r w:rsidRPr="00D03BFC">
              <w:rPr>
                <w:rFonts w:asciiTheme="minorHAnsi" w:hAnsiTheme="minorHAnsi"/>
                <w:b/>
                <w:sz w:val="22"/>
                <w:szCs w:val="22"/>
              </w:rPr>
              <w:br w:type="page"/>
              <w:t>1</w:t>
            </w:r>
            <w:r w:rsidRPr="00D03BFC">
              <w:rPr>
                <w:rFonts w:asciiTheme="minorHAnsi" w:hAnsiTheme="minorHAnsi" w:cs="Times New Roman"/>
                <w:b/>
                <w:sz w:val="22"/>
                <w:szCs w:val="22"/>
              </w:rPr>
              <w:t>.</w:t>
            </w:r>
          </w:p>
        </w:tc>
        <w:tc>
          <w:tcPr>
            <w:tcW w:w="1872" w:type="dxa"/>
          </w:tcPr>
          <w:p w14:paraId="6D20CDF6" w14:textId="77777777" w:rsidR="00784225" w:rsidRDefault="00784225" w:rsidP="00FE6FED">
            <w:pPr>
              <w:pStyle w:val="PlainText"/>
              <w:jc w:val="center"/>
              <w:rPr>
                <w:rFonts w:asciiTheme="minorHAnsi" w:hAnsiTheme="minorHAnsi" w:cs="Times New Roman"/>
                <w:b/>
                <w:i/>
                <w:sz w:val="22"/>
                <w:szCs w:val="22"/>
              </w:rPr>
            </w:pPr>
            <w:r>
              <w:rPr>
                <w:rFonts w:asciiTheme="minorHAnsi" w:hAnsiTheme="minorHAnsi" w:cs="Times New Roman"/>
                <w:b/>
                <w:i/>
                <w:sz w:val="22"/>
                <w:szCs w:val="22"/>
              </w:rPr>
              <w:t>Program</w:t>
            </w:r>
          </w:p>
          <w:p w14:paraId="1E8A36E1" w14:textId="77777777" w:rsidR="00784225" w:rsidRDefault="00784225" w:rsidP="00FE6FED">
            <w:pPr>
              <w:pStyle w:val="PlainText"/>
              <w:jc w:val="center"/>
              <w:rPr>
                <w:rFonts w:asciiTheme="minorHAnsi" w:hAnsiTheme="minorHAnsi" w:cs="Times New Roman"/>
                <w:b/>
                <w:i/>
                <w:sz w:val="22"/>
                <w:szCs w:val="22"/>
              </w:rPr>
            </w:pPr>
            <w:r>
              <w:rPr>
                <w:rFonts w:asciiTheme="minorHAnsi" w:hAnsiTheme="minorHAnsi" w:cs="Times New Roman"/>
                <w:b/>
                <w:i/>
                <w:sz w:val="22"/>
                <w:szCs w:val="22"/>
              </w:rPr>
              <w:t>Income</w:t>
            </w:r>
          </w:p>
          <w:p w14:paraId="3768076B" w14:textId="77777777" w:rsidR="00784225" w:rsidRPr="003A4AD0" w:rsidRDefault="00784225" w:rsidP="00FE6FED">
            <w:pPr>
              <w:pStyle w:val="PlainText"/>
              <w:jc w:val="center"/>
              <w:rPr>
                <w:rFonts w:asciiTheme="minorHAnsi" w:hAnsiTheme="minorHAnsi" w:cs="Times New Roman"/>
                <w:b/>
                <w:i/>
                <w:sz w:val="12"/>
                <w:szCs w:val="12"/>
              </w:rPr>
            </w:pPr>
          </w:p>
          <w:p w14:paraId="2CF157C2" w14:textId="77777777" w:rsidR="00784225" w:rsidRPr="003E2F73" w:rsidRDefault="00784225" w:rsidP="00FE6FED">
            <w:pPr>
              <w:pStyle w:val="PlainText"/>
              <w:jc w:val="center"/>
              <w:rPr>
                <w:rFonts w:asciiTheme="minorHAnsi" w:hAnsiTheme="minorHAnsi" w:cs="Times New Roman"/>
                <w:b/>
                <w:i/>
                <w:sz w:val="22"/>
                <w:szCs w:val="22"/>
              </w:rPr>
            </w:pPr>
            <w:r>
              <w:rPr>
                <w:rFonts w:asciiTheme="minorHAnsi" w:hAnsiTheme="minorHAnsi" w:cs="Times New Roman"/>
                <w:b/>
                <w:i/>
                <w:sz w:val="22"/>
                <w:szCs w:val="22"/>
              </w:rPr>
              <w:t>(200.307)</w:t>
            </w:r>
          </w:p>
        </w:tc>
        <w:tc>
          <w:tcPr>
            <w:tcW w:w="12283" w:type="dxa"/>
          </w:tcPr>
          <w:p w14:paraId="66881EA1" w14:textId="15649F22" w:rsidR="002A3E79" w:rsidRDefault="002A3E79" w:rsidP="006808E9">
            <w:pPr>
              <w:pStyle w:val="PlainText"/>
              <w:jc w:val="both"/>
              <w:rPr>
                <w:rFonts w:asciiTheme="minorHAnsi" w:hAnsiTheme="minorHAnsi"/>
                <w:sz w:val="22"/>
                <w:szCs w:val="22"/>
              </w:rPr>
            </w:pPr>
            <w:r>
              <w:rPr>
                <w:rFonts w:asciiTheme="minorHAnsi" w:hAnsiTheme="minorHAnsi"/>
                <w:sz w:val="22"/>
                <w:szCs w:val="22"/>
              </w:rPr>
              <w:t xml:space="preserve">200.307(e) states that the </w:t>
            </w:r>
            <w:r w:rsidR="00784225">
              <w:rPr>
                <w:rFonts w:asciiTheme="minorHAnsi" w:hAnsiTheme="minorHAnsi"/>
                <w:sz w:val="22"/>
                <w:szCs w:val="22"/>
              </w:rPr>
              <w:t>“</w:t>
            </w:r>
            <w:r w:rsidR="00784225" w:rsidRPr="003A4AD0">
              <w:rPr>
                <w:rFonts w:asciiTheme="minorHAnsi" w:hAnsiTheme="minorHAnsi"/>
                <w:sz w:val="22"/>
                <w:szCs w:val="22"/>
              </w:rPr>
              <w:t>Addition” method is the default for IHEs and n</w:t>
            </w:r>
            <w:r w:rsidR="00784225">
              <w:rPr>
                <w:rFonts w:asciiTheme="minorHAnsi" w:hAnsiTheme="minorHAnsi"/>
                <w:sz w:val="22"/>
                <w:szCs w:val="22"/>
              </w:rPr>
              <w:t>onprofit research institutions.</w:t>
            </w:r>
          </w:p>
          <w:p w14:paraId="55D7C61E" w14:textId="77777777" w:rsidR="002A3E79" w:rsidRPr="00F1738E" w:rsidRDefault="002A3E79" w:rsidP="006808E9">
            <w:pPr>
              <w:pStyle w:val="PlainText"/>
              <w:jc w:val="both"/>
              <w:rPr>
                <w:rFonts w:asciiTheme="minorHAnsi" w:hAnsiTheme="minorHAnsi"/>
                <w:sz w:val="12"/>
                <w:szCs w:val="12"/>
              </w:rPr>
            </w:pPr>
          </w:p>
          <w:p w14:paraId="72AB407B" w14:textId="74619E7C" w:rsidR="002A3E79" w:rsidRDefault="00784225" w:rsidP="006808E9">
            <w:pPr>
              <w:pStyle w:val="PlainText"/>
              <w:jc w:val="both"/>
              <w:rPr>
                <w:rFonts w:asciiTheme="minorHAnsi" w:hAnsiTheme="minorHAnsi"/>
                <w:sz w:val="22"/>
                <w:szCs w:val="22"/>
              </w:rPr>
            </w:pPr>
            <w:r w:rsidRPr="003A4AD0">
              <w:rPr>
                <w:rFonts w:asciiTheme="minorHAnsi" w:hAnsiTheme="minorHAnsi"/>
                <w:sz w:val="22"/>
                <w:szCs w:val="22"/>
              </w:rPr>
              <w:t>COFAR FAQ .307-1 specifies that program income from license fees and royalties should be excluded from the definition of program income and that U.S. law and statute take precedent.</w:t>
            </w:r>
          </w:p>
          <w:p w14:paraId="57948159" w14:textId="77777777" w:rsidR="002A3E79" w:rsidRDefault="002A3E79" w:rsidP="006808E9">
            <w:pPr>
              <w:pStyle w:val="PlainText"/>
              <w:jc w:val="both"/>
              <w:rPr>
                <w:rFonts w:asciiTheme="minorHAnsi" w:hAnsiTheme="minorHAnsi"/>
                <w:sz w:val="22"/>
                <w:szCs w:val="22"/>
              </w:rPr>
            </w:pPr>
          </w:p>
          <w:p w14:paraId="3637260E" w14:textId="577EE4DC" w:rsidR="002A3E79" w:rsidRPr="00E258A1" w:rsidRDefault="002A3E79" w:rsidP="002A3E79">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F1738E">
              <w:rPr>
                <w:rFonts w:asciiTheme="minorHAnsi" w:hAnsiTheme="minorHAnsi"/>
                <w:b/>
                <w:i/>
                <w:sz w:val="22"/>
                <w:szCs w:val="22"/>
              </w:rPr>
              <w:t>TO</w:t>
            </w:r>
            <w:r w:rsidRPr="00E258A1">
              <w:rPr>
                <w:rFonts w:asciiTheme="minorHAnsi" w:hAnsiTheme="minorHAnsi"/>
                <w:b/>
                <w:i/>
                <w:sz w:val="22"/>
                <w:szCs w:val="22"/>
              </w:rPr>
              <w:t xml:space="preserve"> CONSIDER:</w:t>
            </w:r>
          </w:p>
          <w:p w14:paraId="7CBBCAD0" w14:textId="77777777" w:rsidR="002A3E79" w:rsidRPr="00F1738E" w:rsidRDefault="002A3E79" w:rsidP="002A3E79">
            <w:pPr>
              <w:jc w:val="both"/>
              <w:rPr>
                <w:rFonts w:ascii="Calibri" w:hAnsi="Calibri"/>
                <w:b w:val="0"/>
                <w:sz w:val="12"/>
                <w:szCs w:val="12"/>
              </w:rPr>
            </w:pPr>
          </w:p>
          <w:p w14:paraId="7B97414B" w14:textId="5F1F9BB1" w:rsidR="00784225" w:rsidRDefault="002A3E79" w:rsidP="00F1738E">
            <w:pPr>
              <w:pStyle w:val="PlainText"/>
              <w:numPr>
                <w:ilvl w:val="0"/>
                <w:numId w:val="43"/>
              </w:numPr>
              <w:jc w:val="both"/>
              <w:rPr>
                <w:rFonts w:asciiTheme="minorHAnsi" w:hAnsiTheme="minorHAnsi"/>
                <w:sz w:val="22"/>
                <w:szCs w:val="22"/>
              </w:rPr>
            </w:pPr>
            <w:r>
              <w:rPr>
                <w:rFonts w:asciiTheme="minorHAnsi" w:hAnsiTheme="minorHAnsi"/>
                <w:sz w:val="22"/>
                <w:szCs w:val="22"/>
              </w:rPr>
              <w:t>The FAQ clarifie</w:t>
            </w:r>
            <w:r w:rsidR="00F1738E">
              <w:rPr>
                <w:rFonts w:asciiTheme="minorHAnsi" w:hAnsiTheme="minorHAnsi"/>
                <w:sz w:val="22"/>
                <w:szCs w:val="22"/>
              </w:rPr>
              <w:t>s</w:t>
            </w:r>
            <w:r>
              <w:rPr>
                <w:rFonts w:asciiTheme="minorHAnsi" w:hAnsiTheme="minorHAnsi"/>
                <w:sz w:val="22"/>
                <w:szCs w:val="22"/>
              </w:rPr>
              <w:t xml:space="preserve"> the treatment of </w:t>
            </w:r>
            <w:r w:rsidRPr="003A4AD0">
              <w:rPr>
                <w:rFonts w:asciiTheme="minorHAnsi" w:hAnsiTheme="minorHAnsi"/>
                <w:sz w:val="22"/>
                <w:szCs w:val="22"/>
              </w:rPr>
              <w:t xml:space="preserve">program income from license fees and royalties </w:t>
            </w:r>
            <w:r>
              <w:rPr>
                <w:rFonts w:asciiTheme="minorHAnsi" w:hAnsiTheme="minorHAnsi"/>
                <w:sz w:val="22"/>
                <w:szCs w:val="22"/>
              </w:rPr>
              <w:t xml:space="preserve">to make it </w:t>
            </w:r>
            <w:r w:rsidR="00784225">
              <w:rPr>
                <w:rFonts w:asciiTheme="minorHAnsi" w:hAnsiTheme="minorHAnsi"/>
                <w:sz w:val="22"/>
                <w:szCs w:val="22"/>
              </w:rPr>
              <w:t xml:space="preserve">consistent with past requirements in A-110 so no action </w:t>
            </w:r>
            <w:r>
              <w:rPr>
                <w:rFonts w:asciiTheme="minorHAnsi" w:hAnsiTheme="minorHAnsi"/>
                <w:sz w:val="22"/>
                <w:szCs w:val="22"/>
              </w:rPr>
              <w:t xml:space="preserve">is necessary. </w:t>
            </w:r>
          </w:p>
          <w:p w14:paraId="003C9B2C" w14:textId="7D0D2026" w:rsidR="002A3E79" w:rsidRPr="009E134C" w:rsidRDefault="002A3E79" w:rsidP="002A3E79">
            <w:pPr>
              <w:pStyle w:val="PlainText"/>
              <w:jc w:val="both"/>
              <w:rPr>
                <w:rFonts w:asciiTheme="minorHAnsi" w:hAnsiTheme="minorHAnsi"/>
                <w:bCs/>
                <w:sz w:val="22"/>
                <w:szCs w:val="22"/>
              </w:rPr>
            </w:pPr>
          </w:p>
        </w:tc>
      </w:tr>
      <w:tr w:rsidR="009E134C" w:rsidRPr="004A46A7" w14:paraId="4B56BB9B" w14:textId="77777777" w:rsidTr="000D538B">
        <w:trPr>
          <w:trHeight w:val="432"/>
        </w:trPr>
        <w:tc>
          <w:tcPr>
            <w:tcW w:w="518" w:type="dxa"/>
          </w:tcPr>
          <w:p w14:paraId="65D780A9" w14:textId="6E66B340" w:rsidR="009E134C" w:rsidRPr="00D03BFC" w:rsidRDefault="009E134C" w:rsidP="00EE2F50">
            <w:pPr>
              <w:pStyle w:val="PlainText"/>
              <w:jc w:val="center"/>
              <w:rPr>
                <w:rFonts w:asciiTheme="minorHAnsi" w:hAnsiTheme="minorHAnsi"/>
                <w:b/>
                <w:sz w:val="22"/>
                <w:szCs w:val="22"/>
              </w:rPr>
            </w:pPr>
            <w:r w:rsidRPr="00D03BFC">
              <w:rPr>
                <w:rFonts w:asciiTheme="minorHAnsi" w:hAnsiTheme="minorHAnsi"/>
                <w:b/>
                <w:sz w:val="22"/>
                <w:szCs w:val="22"/>
              </w:rPr>
              <w:br w:type="page"/>
              <w:t>2</w:t>
            </w:r>
            <w:r w:rsidRPr="00D03BFC">
              <w:rPr>
                <w:rFonts w:asciiTheme="minorHAnsi" w:hAnsiTheme="minorHAnsi" w:cs="Times New Roman"/>
                <w:b/>
                <w:sz w:val="22"/>
                <w:szCs w:val="22"/>
              </w:rPr>
              <w:t>.</w:t>
            </w:r>
          </w:p>
        </w:tc>
        <w:tc>
          <w:tcPr>
            <w:tcW w:w="1872" w:type="dxa"/>
          </w:tcPr>
          <w:p w14:paraId="74F786B2" w14:textId="77777777" w:rsidR="009E134C" w:rsidRDefault="009E134C" w:rsidP="001C7E5D">
            <w:pPr>
              <w:pStyle w:val="PlainText"/>
              <w:jc w:val="center"/>
              <w:rPr>
                <w:rFonts w:asciiTheme="minorHAnsi" w:hAnsiTheme="minorHAnsi" w:cs="Times New Roman"/>
                <w:b/>
                <w:i/>
                <w:sz w:val="22"/>
                <w:szCs w:val="22"/>
              </w:rPr>
            </w:pPr>
            <w:r>
              <w:rPr>
                <w:rFonts w:asciiTheme="minorHAnsi" w:hAnsiTheme="minorHAnsi" w:cs="Times New Roman"/>
                <w:b/>
                <w:i/>
                <w:sz w:val="22"/>
                <w:szCs w:val="22"/>
              </w:rPr>
              <w:t>Faculty</w:t>
            </w:r>
          </w:p>
          <w:p w14:paraId="56F762F5" w14:textId="77777777" w:rsidR="009E134C" w:rsidRDefault="009E134C" w:rsidP="001C7E5D">
            <w:pPr>
              <w:pStyle w:val="PlainText"/>
              <w:jc w:val="center"/>
              <w:rPr>
                <w:rFonts w:asciiTheme="minorHAnsi" w:hAnsiTheme="minorHAnsi" w:cs="Times New Roman"/>
                <w:b/>
                <w:i/>
                <w:sz w:val="22"/>
                <w:szCs w:val="22"/>
              </w:rPr>
            </w:pPr>
            <w:r>
              <w:rPr>
                <w:rFonts w:asciiTheme="minorHAnsi" w:hAnsiTheme="minorHAnsi" w:cs="Times New Roman"/>
                <w:b/>
                <w:i/>
                <w:sz w:val="22"/>
                <w:szCs w:val="22"/>
              </w:rPr>
              <w:t>Disengagement</w:t>
            </w:r>
          </w:p>
          <w:p w14:paraId="6B9C3A6D" w14:textId="77777777" w:rsidR="009E134C" w:rsidRPr="003A4AD0" w:rsidRDefault="009E134C" w:rsidP="001C7E5D">
            <w:pPr>
              <w:pStyle w:val="PlainText"/>
              <w:jc w:val="center"/>
              <w:rPr>
                <w:rFonts w:asciiTheme="minorHAnsi" w:hAnsiTheme="minorHAnsi" w:cs="Times New Roman"/>
                <w:b/>
                <w:i/>
                <w:sz w:val="12"/>
                <w:szCs w:val="12"/>
              </w:rPr>
            </w:pPr>
          </w:p>
          <w:p w14:paraId="176FC451" w14:textId="637A573D" w:rsidR="009E134C" w:rsidRDefault="009E134C" w:rsidP="00927939">
            <w:pPr>
              <w:pStyle w:val="PlainText"/>
              <w:jc w:val="center"/>
              <w:rPr>
                <w:rFonts w:asciiTheme="minorHAnsi" w:hAnsiTheme="minorHAnsi" w:cs="Times New Roman"/>
                <w:b/>
                <w:i/>
                <w:sz w:val="22"/>
                <w:szCs w:val="22"/>
              </w:rPr>
            </w:pPr>
            <w:r>
              <w:rPr>
                <w:rFonts w:asciiTheme="minorHAnsi" w:hAnsiTheme="minorHAnsi" w:cs="Times New Roman"/>
                <w:b/>
                <w:i/>
                <w:sz w:val="22"/>
                <w:szCs w:val="22"/>
              </w:rPr>
              <w:t>(200.308)</w:t>
            </w:r>
          </w:p>
        </w:tc>
        <w:tc>
          <w:tcPr>
            <w:tcW w:w="12283" w:type="dxa"/>
          </w:tcPr>
          <w:p w14:paraId="4A8523A0" w14:textId="77777777" w:rsidR="009E134C" w:rsidRDefault="009E134C" w:rsidP="009E134C">
            <w:pPr>
              <w:pStyle w:val="PlainText"/>
              <w:jc w:val="both"/>
              <w:rPr>
                <w:rFonts w:ascii="Calibri" w:eastAsia="TrebuchetMS" w:hAnsi="Calibri" w:cs="TrebuchetMS"/>
                <w:sz w:val="22"/>
                <w:szCs w:val="22"/>
              </w:rPr>
            </w:pPr>
            <w:r>
              <w:rPr>
                <w:rFonts w:ascii="Calibri" w:eastAsia="TrebuchetMS" w:hAnsi="Calibri" w:cs="TrebuchetMS"/>
                <w:sz w:val="22"/>
                <w:szCs w:val="22"/>
              </w:rPr>
              <w:t>200.308(c) states that prior approval is required when there  is “disengagement” (previously, “absence” per Circular A-110) from the project for more than three months, or a 25 percent reduction in time devoted to the project, by the approved project director or principal investigator.</w:t>
            </w:r>
          </w:p>
          <w:p w14:paraId="70B49BAC" w14:textId="77777777" w:rsidR="009E134C" w:rsidRDefault="009E134C" w:rsidP="009E134C">
            <w:pPr>
              <w:pStyle w:val="PlainText"/>
              <w:jc w:val="both"/>
              <w:rPr>
                <w:rFonts w:ascii="Calibri" w:eastAsia="TrebuchetMS" w:hAnsi="Calibri" w:cs="TrebuchetMS"/>
                <w:sz w:val="22"/>
                <w:szCs w:val="22"/>
              </w:rPr>
            </w:pPr>
          </w:p>
          <w:p w14:paraId="5BC4FA90" w14:textId="08E58022" w:rsidR="009E134C" w:rsidRPr="00E258A1" w:rsidRDefault="009E134C" w:rsidP="009E134C">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F1738E">
              <w:rPr>
                <w:rFonts w:asciiTheme="minorHAnsi" w:hAnsiTheme="minorHAnsi"/>
                <w:b/>
                <w:i/>
                <w:sz w:val="22"/>
                <w:szCs w:val="22"/>
              </w:rPr>
              <w:t>TO</w:t>
            </w:r>
            <w:r w:rsidR="00F1738E" w:rsidRPr="00E258A1">
              <w:rPr>
                <w:rFonts w:asciiTheme="minorHAnsi" w:hAnsiTheme="minorHAnsi"/>
                <w:b/>
                <w:i/>
                <w:sz w:val="22"/>
                <w:szCs w:val="22"/>
              </w:rPr>
              <w:t xml:space="preserve"> CONSIDER</w:t>
            </w:r>
            <w:r w:rsidRPr="00E258A1">
              <w:rPr>
                <w:rFonts w:asciiTheme="minorHAnsi" w:hAnsiTheme="minorHAnsi"/>
                <w:b/>
                <w:i/>
                <w:sz w:val="22"/>
                <w:szCs w:val="22"/>
              </w:rPr>
              <w:t>:</w:t>
            </w:r>
          </w:p>
          <w:p w14:paraId="2ECD4180" w14:textId="77777777" w:rsidR="009E134C" w:rsidRPr="002A3E79" w:rsidRDefault="009E134C" w:rsidP="009E134C">
            <w:pPr>
              <w:jc w:val="both"/>
              <w:rPr>
                <w:rFonts w:ascii="Calibri" w:hAnsi="Calibri"/>
                <w:b w:val="0"/>
                <w:sz w:val="12"/>
                <w:szCs w:val="12"/>
              </w:rPr>
            </w:pPr>
          </w:p>
          <w:p w14:paraId="1356A784" w14:textId="77777777" w:rsidR="009E134C" w:rsidRDefault="009E134C" w:rsidP="004C28F6">
            <w:pPr>
              <w:pStyle w:val="PlainText"/>
              <w:numPr>
                <w:ilvl w:val="0"/>
                <w:numId w:val="4"/>
              </w:numPr>
              <w:jc w:val="both"/>
              <w:rPr>
                <w:rFonts w:ascii="Calibri" w:hAnsi="Calibri"/>
                <w:sz w:val="22"/>
                <w:szCs w:val="22"/>
              </w:rPr>
            </w:pPr>
            <w:r>
              <w:rPr>
                <w:rFonts w:ascii="Calibri" w:hAnsi="Calibri"/>
                <w:sz w:val="22"/>
                <w:szCs w:val="22"/>
              </w:rPr>
              <w:t>Be aware of the new terminology (“disengagement”) and update policies and practices, accordingly.</w:t>
            </w:r>
          </w:p>
          <w:p w14:paraId="7E652886" w14:textId="77777777" w:rsidR="009E134C" w:rsidRPr="002A3E79" w:rsidRDefault="009E134C" w:rsidP="004C28F6">
            <w:pPr>
              <w:pStyle w:val="PlainText"/>
              <w:numPr>
                <w:ilvl w:val="0"/>
                <w:numId w:val="4"/>
              </w:numPr>
              <w:jc w:val="both"/>
              <w:rPr>
                <w:rFonts w:ascii="Calibri" w:hAnsi="Calibri"/>
                <w:sz w:val="22"/>
                <w:szCs w:val="22"/>
              </w:rPr>
            </w:pPr>
            <w:r>
              <w:rPr>
                <w:rFonts w:ascii="Calibri" w:hAnsi="Calibri"/>
                <w:sz w:val="22"/>
                <w:szCs w:val="22"/>
              </w:rPr>
              <w:t>Consider using more positive language such as “Principal Investigators can be away from campus and still be engaged in the sponsored project.”</w:t>
            </w:r>
          </w:p>
          <w:p w14:paraId="35CB17A4" w14:textId="77777777" w:rsidR="009E134C" w:rsidRDefault="009E134C" w:rsidP="00EE2F50">
            <w:pPr>
              <w:pStyle w:val="PlainText"/>
              <w:jc w:val="both"/>
              <w:rPr>
                <w:rFonts w:ascii="Calibri" w:eastAsia="TrebuchetMS" w:hAnsi="Calibri" w:cs="TrebuchetMS"/>
                <w:sz w:val="22"/>
                <w:szCs w:val="22"/>
              </w:rPr>
            </w:pPr>
          </w:p>
        </w:tc>
      </w:tr>
      <w:tr w:rsidR="009E134C" w:rsidRPr="004A46A7" w14:paraId="6908529C" w14:textId="77777777" w:rsidTr="000D538B">
        <w:trPr>
          <w:trHeight w:val="432"/>
        </w:trPr>
        <w:tc>
          <w:tcPr>
            <w:tcW w:w="518" w:type="dxa"/>
          </w:tcPr>
          <w:p w14:paraId="7A36BA80" w14:textId="1BFE0F9F" w:rsidR="009E134C" w:rsidRPr="00D03BFC" w:rsidRDefault="00FE31B3" w:rsidP="00FE31B3">
            <w:pPr>
              <w:pStyle w:val="PlainText"/>
              <w:jc w:val="center"/>
              <w:rPr>
                <w:rFonts w:asciiTheme="minorHAnsi" w:hAnsiTheme="minorHAnsi" w:cs="Times New Roman"/>
                <w:b/>
                <w:sz w:val="22"/>
                <w:szCs w:val="22"/>
              </w:rPr>
            </w:pPr>
            <w:r>
              <w:rPr>
                <w:rFonts w:asciiTheme="minorHAnsi" w:hAnsiTheme="minorHAnsi"/>
                <w:b/>
                <w:sz w:val="22"/>
                <w:szCs w:val="22"/>
              </w:rPr>
              <w:t>3</w:t>
            </w:r>
            <w:r w:rsidR="009E134C" w:rsidRPr="00D03BFC">
              <w:rPr>
                <w:rFonts w:asciiTheme="minorHAnsi" w:hAnsiTheme="minorHAnsi"/>
                <w:b/>
                <w:sz w:val="22"/>
                <w:szCs w:val="22"/>
              </w:rPr>
              <w:t>.</w:t>
            </w:r>
          </w:p>
        </w:tc>
        <w:tc>
          <w:tcPr>
            <w:tcW w:w="1872" w:type="dxa"/>
          </w:tcPr>
          <w:p w14:paraId="209DB9F6" w14:textId="77777777" w:rsidR="009E134C" w:rsidRDefault="009E134C" w:rsidP="00927939">
            <w:pPr>
              <w:pStyle w:val="PlainText"/>
              <w:jc w:val="center"/>
              <w:rPr>
                <w:rFonts w:asciiTheme="minorHAnsi" w:hAnsiTheme="minorHAnsi" w:cs="Times New Roman"/>
                <w:b/>
                <w:i/>
                <w:sz w:val="22"/>
                <w:szCs w:val="22"/>
              </w:rPr>
            </w:pPr>
            <w:r>
              <w:rPr>
                <w:rFonts w:asciiTheme="minorHAnsi" w:hAnsiTheme="minorHAnsi" w:cs="Times New Roman"/>
                <w:b/>
                <w:i/>
                <w:sz w:val="22"/>
                <w:szCs w:val="22"/>
              </w:rPr>
              <w:t>Equipment and property systems</w:t>
            </w:r>
          </w:p>
          <w:p w14:paraId="5DF3D6C6" w14:textId="77777777" w:rsidR="009E134C" w:rsidRPr="003A4AD0" w:rsidRDefault="009E134C" w:rsidP="00927939">
            <w:pPr>
              <w:pStyle w:val="PlainText"/>
              <w:jc w:val="center"/>
              <w:rPr>
                <w:rFonts w:asciiTheme="minorHAnsi" w:hAnsiTheme="minorHAnsi" w:cs="Times New Roman"/>
                <w:b/>
                <w:i/>
                <w:sz w:val="12"/>
                <w:szCs w:val="12"/>
              </w:rPr>
            </w:pPr>
          </w:p>
          <w:p w14:paraId="6E8363E9" w14:textId="77777777" w:rsidR="009E134C" w:rsidRPr="003E2F73" w:rsidRDefault="009E134C" w:rsidP="00987BAA">
            <w:pPr>
              <w:pStyle w:val="PlainText"/>
              <w:jc w:val="center"/>
              <w:rPr>
                <w:rFonts w:asciiTheme="minorHAnsi" w:hAnsiTheme="minorHAnsi" w:cs="Times New Roman"/>
                <w:b/>
                <w:i/>
                <w:sz w:val="22"/>
                <w:szCs w:val="22"/>
              </w:rPr>
            </w:pPr>
            <w:r>
              <w:rPr>
                <w:rFonts w:asciiTheme="minorHAnsi" w:hAnsiTheme="minorHAnsi" w:cs="Times New Roman"/>
                <w:b/>
                <w:i/>
                <w:sz w:val="22"/>
                <w:szCs w:val="22"/>
              </w:rPr>
              <w:t>(200.313)</w:t>
            </w:r>
          </w:p>
        </w:tc>
        <w:tc>
          <w:tcPr>
            <w:tcW w:w="12283" w:type="dxa"/>
          </w:tcPr>
          <w:p w14:paraId="29F3BD4F" w14:textId="366ADD2D" w:rsidR="009E134C" w:rsidRPr="00784225" w:rsidRDefault="009E134C" w:rsidP="00987BAA">
            <w:pPr>
              <w:jc w:val="both"/>
              <w:rPr>
                <w:rFonts w:ascii="Calibri" w:hAnsi="Calibri"/>
                <w:b w:val="0"/>
                <w:sz w:val="22"/>
                <w:szCs w:val="22"/>
              </w:rPr>
            </w:pPr>
            <w:r w:rsidRPr="00987BAA">
              <w:rPr>
                <w:rFonts w:ascii="Calibri" w:hAnsi="Calibri"/>
                <w:b w:val="0"/>
                <w:sz w:val="22"/>
                <w:szCs w:val="22"/>
              </w:rPr>
              <w:t xml:space="preserve">COFAR FAQ .313-1 clarifies that “conditional title” is not a new term and always has been in effect. Therefore, title continues to </w:t>
            </w:r>
            <w:r w:rsidRPr="00987BAA">
              <w:rPr>
                <w:rFonts w:ascii="Calibri" w:eastAsia="Calibri" w:hAnsi="Calibri" w:cs="Calibri"/>
                <w:b w:val="0"/>
                <w:sz w:val="22"/>
                <w:szCs w:val="22"/>
              </w:rPr>
              <w:t xml:space="preserve">vest upon acquisition and is </w:t>
            </w:r>
            <w:r>
              <w:rPr>
                <w:rFonts w:ascii="Calibri" w:eastAsia="Calibri" w:hAnsi="Calibri" w:cs="Calibri"/>
                <w:b w:val="0"/>
                <w:sz w:val="22"/>
                <w:szCs w:val="22"/>
              </w:rPr>
              <w:t xml:space="preserve">only </w:t>
            </w:r>
            <w:r w:rsidRPr="00987BAA">
              <w:rPr>
                <w:rFonts w:ascii="Calibri" w:eastAsia="Calibri" w:hAnsi="Calibri" w:cs="Calibri"/>
                <w:b w:val="0"/>
                <w:sz w:val="22"/>
                <w:szCs w:val="22"/>
              </w:rPr>
              <w:t>contingent on meeting the requirements for use.</w:t>
            </w:r>
            <w:r>
              <w:rPr>
                <w:rFonts w:ascii="Calibri" w:hAnsi="Calibri"/>
                <w:b w:val="0"/>
                <w:sz w:val="22"/>
                <w:szCs w:val="22"/>
              </w:rPr>
              <w:t xml:space="preserve"> </w:t>
            </w:r>
            <w:r w:rsidRPr="00987BAA">
              <w:rPr>
                <w:rFonts w:ascii="Calibri" w:hAnsi="Calibri"/>
                <w:b w:val="0"/>
                <w:sz w:val="22"/>
                <w:szCs w:val="22"/>
              </w:rPr>
              <w:t xml:space="preserve">COFAR FAQ .313-2 confirms that non-Federal entities are </w:t>
            </w:r>
            <w:r w:rsidRPr="00987BAA">
              <w:rPr>
                <w:rFonts w:ascii="Calibri" w:hAnsi="Calibri"/>
                <w:b w:val="0"/>
                <w:sz w:val="22"/>
                <w:szCs w:val="22"/>
                <w:u w:val="single"/>
              </w:rPr>
              <w:t>not</w:t>
            </w:r>
            <w:r w:rsidRPr="00987BAA">
              <w:rPr>
                <w:rFonts w:ascii="Calibri" w:hAnsi="Calibri"/>
                <w:b w:val="0"/>
                <w:sz w:val="22"/>
                <w:szCs w:val="22"/>
              </w:rPr>
              <w:t xml:space="preserve"> expected to change their inventory systems or data elements in those systems if the systems are in compliance with the current requirements in Circular A-110.</w:t>
            </w:r>
          </w:p>
          <w:p w14:paraId="06B238B9" w14:textId="77777777" w:rsidR="009E134C" w:rsidRPr="00987BAA" w:rsidRDefault="009E134C" w:rsidP="00987BAA">
            <w:pPr>
              <w:jc w:val="both"/>
              <w:rPr>
                <w:rFonts w:ascii="Calibri" w:hAnsi="Calibri"/>
                <w:b w:val="0"/>
                <w:sz w:val="12"/>
                <w:szCs w:val="12"/>
              </w:rPr>
            </w:pPr>
          </w:p>
          <w:p w14:paraId="6A5CB619" w14:textId="6B6BF0A8" w:rsidR="0025060E" w:rsidRPr="00E258A1" w:rsidRDefault="0025060E" w:rsidP="0025060E">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F1738E">
              <w:rPr>
                <w:rFonts w:asciiTheme="minorHAnsi" w:hAnsiTheme="minorHAnsi"/>
                <w:b/>
                <w:i/>
                <w:sz w:val="22"/>
                <w:szCs w:val="22"/>
              </w:rPr>
              <w:t>TO</w:t>
            </w:r>
            <w:r w:rsidR="00F1738E" w:rsidRPr="00E258A1">
              <w:rPr>
                <w:rFonts w:asciiTheme="minorHAnsi" w:hAnsiTheme="minorHAnsi"/>
                <w:b/>
                <w:i/>
                <w:sz w:val="22"/>
                <w:szCs w:val="22"/>
              </w:rPr>
              <w:t xml:space="preserve"> CONSIDER</w:t>
            </w:r>
            <w:r w:rsidRPr="00E258A1">
              <w:rPr>
                <w:rFonts w:asciiTheme="minorHAnsi" w:hAnsiTheme="minorHAnsi"/>
                <w:b/>
                <w:i/>
                <w:sz w:val="22"/>
                <w:szCs w:val="22"/>
              </w:rPr>
              <w:t>:</w:t>
            </w:r>
          </w:p>
          <w:p w14:paraId="01C2D8A5" w14:textId="77777777" w:rsidR="0025060E" w:rsidRPr="002A3E79" w:rsidRDefault="0025060E" w:rsidP="0025060E">
            <w:pPr>
              <w:jc w:val="both"/>
              <w:rPr>
                <w:rFonts w:ascii="Calibri" w:hAnsi="Calibri"/>
                <w:b w:val="0"/>
                <w:sz w:val="12"/>
                <w:szCs w:val="12"/>
              </w:rPr>
            </w:pPr>
          </w:p>
          <w:p w14:paraId="300947D5" w14:textId="77777777" w:rsidR="009E134C" w:rsidRPr="00FE31B3" w:rsidRDefault="0025060E" w:rsidP="00987BAA">
            <w:pPr>
              <w:pStyle w:val="PlainText"/>
              <w:numPr>
                <w:ilvl w:val="0"/>
                <w:numId w:val="12"/>
              </w:numPr>
              <w:jc w:val="both"/>
              <w:rPr>
                <w:rFonts w:ascii="Calibri" w:hAnsi="Calibri"/>
                <w:sz w:val="22"/>
                <w:szCs w:val="22"/>
              </w:rPr>
            </w:pPr>
            <w:r>
              <w:rPr>
                <w:rFonts w:ascii="Calibri" w:eastAsia="Calibri" w:hAnsi="Calibri" w:cs="Calibri"/>
                <w:sz w:val="22"/>
                <w:szCs w:val="22"/>
              </w:rPr>
              <w:t>Review existing equipment and property systems and confirm current compliance with A-110.</w:t>
            </w:r>
          </w:p>
          <w:p w14:paraId="6F15735E" w14:textId="531EE103" w:rsidR="00FE31B3" w:rsidRDefault="00FE31B3" w:rsidP="00987BAA">
            <w:pPr>
              <w:pStyle w:val="PlainText"/>
              <w:numPr>
                <w:ilvl w:val="0"/>
                <w:numId w:val="12"/>
              </w:numPr>
              <w:jc w:val="both"/>
              <w:rPr>
                <w:rFonts w:ascii="Calibri" w:hAnsi="Calibri"/>
                <w:sz w:val="22"/>
                <w:szCs w:val="22"/>
              </w:rPr>
            </w:pPr>
            <w:r>
              <w:rPr>
                <w:rFonts w:ascii="Calibri" w:eastAsia="Calibri" w:hAnsi="Calibri" w:cs="Calibri"/>
                <w:sz w:val="22"/>
                <w:szCs w:val="22"/>
              </w:rPr>
              <w:t>Update systems or data elements, if necessary, to ensure compliance.</w:t>
            </w:r>
          </w:p>
          <w:p w14:paraId="1774901E" w14:textId="1D8FC871" w:rsidR="00FE31B3" w:rsidRPr="00FE31B3" w:rsidRDefault="00FE31B3" w:rsidP="00FE31B3">
            <w:pPr>
              <w:pStyle w:val="PlainText"/>
              <w:ind w:left="360"/>
              <w:jc w:val="both"/>
              <w:rPr>
                <w:rFonts w:ascii="Calibri" w:hAnsi="Calibri"/>
                <w:sz w:val="22"/>
                <w:szCs w:val="22"/>
              </w:rPr>
            </w:pPr>
          </w:p>
        </w:tc>
      </w:tr>
      <w:tr w:rsidR="009E134C" w:rsidRPr="004A46A7" w14:paraId="7BACD351" w14:textId="77777777" w:rsidTr="000D538B">
        <w:trPr>
          <w:trHeight w:val="432"/>
        </w:trPr>
        <w:tc>
          <w:tcPr>
            <w:tcW w:w="518" w:type="dxa"/>
          </w:tcPr>
          <w:p w14:paraId="7F5622C7" w14:textId="224BFCBE" w:rsidR="009E134C" w:rsidRPr="00D03BFC" w:rsidRDefault="00FE31B3" w:rsidP="00FE31B3">
            <w:pPr>
              <w:pStyle w:val="PlainText"/>
              <w:jc w:val="center"/>
              <w:rPr>
                <w:rFonts w:asciiTheme="minorHAnsi" w:hAnsiTheme="minorHAnsi" w:cs="Times New Roman"/>
                <w:b/>
                <w:sz w:val="22"/>
                <w:szCs w:val="22"/>
              </w:rPr>
            </w:pPr>
            <w:r>
              <w:rPr>
                <w:rFonts w:asciiTheme="minorHAnsi" w:hAnsiTheme="minorHAnsi"/>
                <w:b/>
                <w:sz w:val="22"/>
                <w:szCs w:val="22"/>
              </w:rPr>
              <w:lastRenderedPageBreak/>
              <w:t>4</w:t>
            </w:r>
            <w:r w:rsidR="009E134C" w:rsidRPr="00D03BFC">
              <w:rPr>
                <w:rFonts w:asciiTheme="minorHAnsi" w:hAnsiTheme="minorHAnsi"/>
                <w:b/>
                <w:sz w:val="22"/>
                <w:szCs w:val="22"/>
              </w:rPr>
              <w:t>.</w:t>
            </w:r>
          </w:p>
        </w:tc>
        <w:tc>
          <w:tcPr>
            <w:tcW w:w="1872" w:type="dxa"/>
          </w:tcPr>
          <w:p w14:paraId="26813304" w14:textId="77777777" w:rsidR="009E134C" w:rsidRDefault="009E134C" w:rsidP="00927939">
            <w:pPr>
              <w:pStyle w:val="PlainText"/>
              <w:jc w:val="center"/>
              <w:rPr>
                <w:rFonts w:asciiTheme="minorHAnsi" w:hAnsiTheme="minorHAnsi" w:cs="Times New Roman"/>
                <w:b/>
                <w:i/>
                <w:sz w:val="22"/>
                <w:szCs w:val="22"/>
              </w:rPr>
            </w:pPr>
            <w:r>
              <w:rPr>
                <w:rFonts w:asciiTheme="minorHAnsi" w:hAnsiTheme="minorHAnsi" w:cs="Times New Roman"/>
                <w:b/>
                <w:i/>
                <w:sz w:val="22"/>
                <w:szCs w:val="22"/>
              </w:rPr>
              <w:t>Accounting for residual inventory</w:t>
            </w:r>
          </w:p>
          <w:p w14:paraId="458EEAB5" w14:textId="77777777" w:rsidR="009E134C" w:rsidRDefault="009E134C" w:rsidP="00927939">
            <w:pPr>
              <w:pStyle w:val="PlainText"/>
              <w:jc w:val="center"/>
              <w:rPr>
                <w:rFonts w:asciiTheme="minorHAnsi" w:hAnsiTheme="minorHAnsi" w:cs="Times New Roman"/>
                <w:b/>
                <w:i/>
                <w:sz w:val="22"/>
                <w:szCs w:val="22"/>
              </w:rPr>
            </w:pPr>
            <w:r>
              <w:rPr>
                <w:rFonts w:asciiTheme="minorHAnsi" w:hAnsiTheme="minorHAnsi" w:cs="Times New Roman"/>
                <w:b/>
                <w:i/>
                <w:sz w:val="22"/>
                <w:szCs w:val="22"/>
              </w:rPr>
              <w:t xml:space="preserve"> &gt; $5,000</w:t>
            </w:r>
          </w:p>
          <w:p w14:paraId="16CEFBD2" w14:textId="77777777" w:rsidR="009E134C" w:rsidRPr="003A4AD0" w:rsidRDefault="009E134C" w:rsidP="00927939">
            <w:pPr>
              <w:pStyle w:val="PlainText"/>
              <w:jc w:val="center"/>
              <w:rPr>
                <w:rFonts w:asciiTheme="minorHAnsi" w:hAnsiTheme="minorHAnsi" w:cs="Times New Roman"/>
                <w:b/>
                <w:i/>
                <w:sz w:val="12"/>
                <w:szCs w:val="12"/>
              </w:rPr>
            </w:pPr>
          </w:p>
          <w:p w14:paraId="1D9F6781" w14:textId="77777777" w:rsidR="009E134C" w:rsidRPr="003E2F73" w:rsidRDefault="009E134C" w:rsidP="00D43343">
            <w:pPr>
              <w:pStyle w:val="PlainText"/>
              <w:jc w:val="center"/>
              <w:rPr>
                <w:rFonts w:asciiTheme="minorHAnsi" w:hAnsiTheme="minorHAnsi" w:cs="Times New Roman"/>
                <w:b/>
                <w:i/>
                <w:sz w:val="22"/>
                <w:szCs w:val="22"/>
              </w:rPr>
            </w:pPr>
            <w:r>
              <w:rPr>
                <w:rFonts w:asciiTheme="minorHAnsi" w:hAnsiTheme="minorHAnsi" w:cs="Times New Roman"/>
                <w:b/>
                <w:i/>
                <w:sz w:val="22"/>
                <w:szCs w:val="22"/>
              </w:rPr>
              <w:t>(200.314)</w:t>
            </w:r>
          </w:p>
        </w:tc>
        <w:tc>
          <w:tcPr>
            <w:tcW w:w="12283" w:type="dxa"/>
          </w:tcPr>
          <w:p w14:paraId="2D628D81" w14:textId="45671FEC" w:rsidR="009E134C" w:rsidRPr="00784225" w:rsidRDefault="0025060E" w:rsidP="00784225">
            <w:pPr>
              <w:autoSpaceDE w:val="0"/>
              <w:autoSpaceDN w:val="0"/>
              <w:adjustRightInd w:val="0"/>
              <w:jc w:val="both"/>
              <w:rPr>
                <w:rFonts w:asciiTheme="minorHAnsi" w:eastAsia="Calibri" w:hAnsiTheme="minorHAnsi" w:cs="Calibri"/>
                <w:b w:val="0"/>
                <w:sz w:val="22"/>
                <w:szCs w:val="22"/>
              </w:rPr>
            </w:pPr>
            <w:r>
              <w:rPr>
                <w:rFonts w:asciiTheme="minorHAnsi" w:eastAsiaTheme="minorHAnsi" w:hAnsiTheme="minorHAnsi" w:cs="Courier"/>
                <w:b w:val="0"/>
                <w:sz w:val="22"/>
                <w:szCs w:val="22"/>
              </w:rPr>
              <w:t>200.314(a) states that i</w:t>
            </w:r>
            <w:r w:rsidR="009E134C" w:rsidRPr="007C52C6">
              <w:rPr>
                <w:rFonts w:asciiTheme="minorHAnsi" w:eastAsiaTheme="minorHAnsi" w:hAnsiTheme="minorHAnsi" w:cs="Courier"/>
                <w:b w:val="0"/>
                <w:sz w:val="22"/>
                <w:szCs w:val="22"/>
              </w:rPr>
              <w:t xml:space="preserve">f there is a residual inventory of unused supplies exceeding $5,000 in total aggregate value upon completion of </w:t>
            </w:r>
            <w:r w:rsidR="009E134C">
              <w:rPr>
                <w:rFonts w:asciiTheme="minorHAnsi" w:eastAsiaTheme="minorHAnsi" w:hAnsiTheme="minorHAnsi" w:cs="Courier"/>
                <w:b w:val="0"/>
                <w:sz w:val="22"/>
                <w:szCs w:val="22"/>
              </w:rPr>
              <w:t xml:space="preserve">an award </w:t>
            </w:r>
            <w:r w:rsidR="009E134C" w:rsidRPr="007C52C6">
              <w:rPr>
                <w:rFonts w:asciiTheme="minorHAnsi" w:eastAsiaTheme="minorHAnsi" w:hAnsiTheme="minorHAnsi" w:cs="Courier"/>
                <w:b w:val="0"/>
                <w:sz w:val="22"/>
                <w:szCs w:val="22"/>
              </w:rPr>
              <w:t xml:space="preserve">and the supplies are not needed for any other Federal award, the non-Federal entity must </w:t>
            </w:r>
            <w:r w:rsidR="009E134C" w:rsidRPr="00784225">
              <w:rPr>
                <w:rFonts w:asciiTheme="minorHAnsi" w:eastAsiaTheme="minorHAnsi" w:hAnsiTheme="minorHAnsi" w:cs="Courier"/>
                <w:b w:val="0"/>
                <w:sz w:val="22"/>
                <w:szCs w:val="22"/>
              </w:rPr>
              <w:t>retain the supplies for use on other activities or sell them, but must, in either case, compensate the Federal government for its share.</w:t>
            </w:r>
            <w:r w:rsidR="009E134C" w:rsidRPr="00784225">
              <w:rPr>
                <w:rFonts w:asciiTheme="minorHAnsi" w:eastAsia="Calibri" w:hAnsiTheme="minorHAnsi" w:cs="Calibri"/>
                <w:b w:val="0"/>
                <w:sz w:val="22"/>
                <w:szCs w:val="22"/>
              </w:rPr>
              <w:t xml:space="preserve"> This is not a new requirement and existed under Circular A-110</w:t>
            </w:r>
            <w:r w:rsidR="00F1738E">
              <w:rPr>
                <w:rFonts w:asciiTheme="minorHAnsi" w:eastAsia="Calibri" w:hAnsiTheme="minorHAnsi" w:cs="Calibri"/>
                <w:b w:val="0"/>
                <w:sz w:val="22"/>
                <w:szCs w:val="22"/>
              </w:rPr>
              <w:t>, C.35(a).</w:t>
            </w:r>
          </w:p>
          <w:p w14:paraId="61A3546B" w14:textId="77777777" w:rsidR="009E134C" w:rsidRDefault="009E134C" w:rsidP="007C52C6">
            <w:pPr>
              <w:pStyle w:val="PlainText"/>
              <w:jc w:val="both"/>
              <w:rPr>
                <w:rFonts w:asciiTheme="minorHAnsi" w:eastAsia="Calibri" w:hAnsiTheme="minorHAnsi" w:cs="Calibri"/>
                <w:sz w:val="22"/>
                <w:szCs w:val="22"/>
              </w:rPr>
            </w:pPr>
          </w:p>
          <w:p w14:paraId="645E2AEE" w14:textId="51D1C90D" w:rsidR="0025060E" w:rsidRPr="00E258A1" w:rsidRDefault="0025060E" w:rsidP="0025060E">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sidR="000457A9">
              <w:rPr>
                <w:rFonts w:asciiTheme="minorHAnsi" w:hAnsiTheme="minorHAnsi"/>
                <w:b/>
                <w:i/>
                <w:sz w:val="22"/>
                <w:szCs w:val="22"/>
              </w:rPr>
              <w:t xml:space="preserve">TO </w:t>
            </w:r>
            <w:r w:rsidRPr="00E258A1">
              <w:rPr>
                <w:rFonts w:asciiTheme="minorHAnsi" w:hAnsiTheme="minorHAnsi"/>
                <w:b/>
                <w:i/>
                <w:sz w:val="22"/>
                <w:szCs w:val="22"/>
              </w:rPr>
              <w:t>CONSIDER:</w:t>
            </w:r>
          </w:p>
          <w:p w14:paraId="0BA1E5EC" w14:textId="77777777" w:rsidR="0025060E" w:rsidRPr="002A3E79" w:rsidRDefault="0025060E" w:rsidP="0025060E">
            <w:pPr>
              <w:jc w:val="both"/>
              <w:rPr>
                <w:rFonts w:ascii="Calibri" w:hAnsi="Calibri"/>
                <w:b w:val="0"/>
                <w:sz w:val="12"/>
                <w:szCs w:val="12"/>
              </w:rPr>
            </w:pPr>
          </w:p>
          <w:p w14:paraId="5CFE5311" w14:textId="6004AC29" w:rsidR="0025060E" w:rsidRDefault="0025060E" w:rsidP="004C28F6">
            <w:pPr>
              <w:pStyle w:val="PlainText"/>
              <w:numPr>
                <w:ilvl w:val="0"/>
                <w:numId w:val="13"/>
              </w:numPr>
              <w:jc w:val="both"/>
              <w:rPr>
                <w:rFonts w:ascii="Calibri" w:hAnsi="Calibri"/>
                <w:sz w:val="22"/>
                <w:szCs w:val="22"/>
              </w:rPr>
            </w:pPr>
            <w:r>
              <w:rPr>
                <w:rFonts w:asciiTheme="minorHAnsi" w:eastAsia="Calibri" w:hAnsiTheme="minorHAnsi" w:cs="Calibri"/>
                <w:sz w:val="22"/>
                <w:szCs w:val="22"/>
              </w:rPr>
              <w:t xml:space="preserve">Review </w:t>
            </w:r>
            <w:r w:rsidRPr="007C52C6">
              <w:rPr>
                <w:rFonts w:asciiTheme="minorHAnsi" w:eastAsia="Calibri" w:hAnsiTheme="minorHAnsi" w:cs="Calibri"/>
                <w:sz w:val="22"/>
                <w:szCs w:val="22"/>
              </w:rPr>
              <w:t>current policies and practices</w:t>
            </w:r>
            <w:r>
              <w:rPr>
                <w:rFonts w:asciiTheme="minorHAnsi" w:eastAsia="Calibri" w:hAnsiTheme="minorHAnsi" w:cs="Calibri"/>
                <w:sz w:val="22"/>
                <w:szCs w:val="22"/>
              </w:rPr>
              <w:t>, especially regarding purchases made during the last 60 – 90 days of the award</w:t>
            </w:r>
            <w:r>
              <w:rPr>
                <w:rFonts w:ascii="Calibri" w:hAnsi="Calibri"/>
                <w:sz w:val="22"/>
                <w:szCs w:val="22"/>
              </w:rPr>
              <w:t>.</w:t>
            </w:r>
          </w:p>
          <w:p w14:paraId="2E4D91BD" w14:textId="1A46F33C" w:rsidR="0025060E" w:rsidRPr="0025060E" w:rsidRDefault="0025060E" w:rsidP="004C28F6">
            <w:pPr>
              <w:pStyle w:val="PlainText"/>
              <w:numPr>
                <w:ilvl w:val="0"/>
                <w:numId w:val="13"/>
              </w:numPr>
              <w:jc w:val="both"/>
              <w:rPr>
                <w:rFonts w:ascii="Calibri" w:hAnsi="Calibri"/>
                <w:sz w:val="22"/>
                <w:szCs w:val="22"/>
              </w:rPr>
            </w:pPr>
            <w:r w:rsidRPr="007C52C6">
              <w:rPr>
                <w:rFonts w:asciiTheme="minorHAnsi" w:eastAsia="Calibri" w:hAnsiTheme="minorHAnsi" w:cs="Calibri"/>
                <w:sz w:val="22"/>
                <w:szCs w:val="22"/>
              </w:rPr>
              <w:t>Pay special attention to Computing Devices</w:t>
            </w:r>
            <w:r>
              <w:rPr>
                <w:rFonts w:asciiTheme="minorHAnsi" w:eastAsia="Calibri" w:hAnsiTheme="minorHAnsi" w:cs="Calibri"/>
                <w:sz w:val="22"/>
                <w:szCs w:val="22"/>
              </w:rPr>
              <w:t xml:space="preserve"> (also see section 200.453)</w:t>
            </w:r>
            <w:r w:rsidRPr="007C52C6">
              <w:rPr>
                <w:rFonts w:asciiTheme="minorHAnsi" w:eastAsia="Calibri" w:hAnsiTheme="minorHAnsi" w:cs="Calibri"/>
                <w:sz w:val="22"/>
                <w:szCs w:val="22"/>
              </w:rPr>
              <w:t xml:space="preserve">. One interpretation may be that once a computing device is used on a project, it </w:t>
            </w:r>
            <w:r>
              <w:rPr>
                <w:rFonts w:asciiTheme="minorHAnsi" w:eastAsia="Calibri" w:hAnsiTheme="minorHAnsi" w:cs="Calibri"/>
                <w:sz w:val="22"/>
                <w:szCs w:val="22"/>
              </w:rPr>
              <w:t>does not</w:t>
            </w:r>
            <w:r w:rsidRPr="007C52C6">
              <w:rPr>
                <w:rFonts w:asciiTheme="minorHAnsi" w:eastAsia="Calibri" w:hAnsiTheme="minorHAnsi" w:cs="Calibri"/>
                <w:sz w:val="22"/>
                <w:szCs w:val="22"/>
              </w:rPr>
              <w:t xml:space="preserve"> meet the definition of “residual inventory” and therefore is not subject to the post-award accounting requirement.</w:t>
            </w:r>
            <w:r>
              <w:rPr>
                <w:rFonts w:asciiTheme="minorHAnsi" w:eastAsia="Calibri" w:hAnsiTheme="minorHAnsi" w:cs="Calibri"/>
                <w:sz w:val="22"/>
                <w:szCs w:val="22"/>
              </w:rPr>
              <w:t xml:space="preserve">  However, proper cost allocation principles still apply, and allocation may be questioned for computing devices purchased towards the end of project.</w:t>
            </w:r>
          </w:p>
          <w:p w14:paraId="0CF7A239" w14:textId="77777777" w:rsidR="0025060E" w:rsidRDefault="0025060E" w:rsidP="0025060E">
            <w:pPr>
              <w:pStyle w:val="PlainText"/>
              <w:ind w:left="720"/>
              <w:jc w:val="both"/>
              <w:rPr>
                <w:rFonts w:ascii="Calibri" w:hAnsi="Calibri"/>
                <w:sz w:val="22"/>
                <w:szCs w:val="22"/>
              </w:rPr>
            </w:pPr>
          </w:p>
          <w:p w14:paraId="1DBDBFA5" w14:textId="77777777" w:rsidR="009E134C" w:rsidRPr="007C52C6" w:rsidRDefault="009E134C" w:rsidP="007C52C6">
            <w:pPr>
              <w:pStyle w:val="PlainText"/>
              <w:jc w:val="both"/>
              <w:rPr>
                <w:rFonts w:asciiTheme="minorHAnsi" w:hAnsiTheme="minorHAnsi"/>
                <w:bCs/>
                <w:sz w:val="12"/>
                <w:szCs w:val="12"/>
              </w:rPr>
            </w:pPr>
          </w:p>
        </w:tc>
      </w:tr>
      <w:tr w:rsidR="009E134C" w:rsidRPr="004A46A7" w14:paraId="3E0D0651" w14:textId="77777777" w:rsidTr="000D538B">
        <w:trPr>
          <w:trHeight w:val="432"/>
        </w:trPr>
        <w:tc>
          <w:tcPr>
            <w:tcW w:w="518" w:type="dxa"/>
          </w:tcPr>
          <w:p w14:paraId="3033CF33" w14:textId="203AD935" w:rsidR="009E134C" w:rsidRPr="00D03BFC" w:rsidRDefault="00FE31B3" w:rsidP="00FE31B3">
            <w:pPr>
              <w:pStyle w:val="PlainText"/>
              <w:jc w:val="center"/>
              <w:rPr>
                <w:rFonts w:asciiTheme="minorHAnsi" w:hAnsiTheme="minorHAnsi" w:cs="Times New Roman"/>
                <w:b/>
                <w:sz w:val="22"/>
                <w:szCs w:val="22"/>
              </w:rPr>
            </w:pPr>
            <w:r>
              <w:rPr>
                <w:rFonts w:asciiTheme="minorHAnsi" w:hAnsiTheme="minorHAnsi"/>
                <w:b/>
                <w:sz w:val="22"/>
                <w:szCs w:val="22"/>
              </w:rPr>
              <w:t>5</w:t>
            </w:r>
            <w:r w:rsidR="009E134C" w:rsidRPr="00D03BFC">
              <w:rPr>
                <w:rFonts w:asciiTheme="minorHAnsi" w:hAnsiTheme="minorHAnsi"/>
                <w:b/>
                <w:sz w:val="22"/>
                <w:szCs w:val="22"/>
              </w:rPr>
              <w:t>.</w:t>
            </w:r>
          </w:p>
        </w:tc>
        <w:tc>
          <w:tcPr>
            <w:tcW w:w="1872" w:type="dxa"/>
          </w:tcPr>
          <w:p w14:paraId="4EA0AC45" w14:textId="77777777" w:rsidR="009E134C" w:rsidRDefault="009E134C" w:rsidP="00927939">
            <w:pPr>
              <w:pStyle w:val="PlainText"/>
              <w:jc w:val="center"/>
              <w:rPr>
                <w:rFonts w:asciiTheme="minorHAnsi" w:hAnsiTheme="minorHAnsi" w:cs="Times New Roman"/>
                <w:b/>
                <w:i/>
                <w:sz w:val="22"/>
                <w:szCs w:val="22"/>
              </w:rPr>
            </w:pPr>
            <w:r>
              <w:rPr>
                <w:rFonts w:asciiTheme="minorHAnsi" w:hAnsiTheme="minorHAnsi" w:cs="Times New Roman"/>
                <w:b/>
                <w:i/>
                <w:sz w:val="22"/>
                <w:szCs w:val="22"/>
              </w:rPr>
              <w:t>Procurement standards</w:t>
            </w:r>
          </w:p>
          <w:p w14:paraId="04FDBD9E" w14:textId="77777777" w:rsidR="009E134C" w:rsidRPr="003A4AD0" w:rsidRDefault="009E134C" w:rsidP="00927939">
            <w:pPr>
              <w:pStyle w:val="PlainText"/>
              <w:jc w:val="center"/>
              <w:rPr>
                <w:rFonts w:asciiTheme="minorHAnsi" w:hAnsiTheme="minorHAnsi" w:cs="Times New Roman"/>
                <w:b/>
                <w:i/>
                <w:sz w:val="12"/>
                <w:szCs w:val="12"/>
              </w:rPr>
            </w:pPr>
          </w:p>
          <w:p w14:paraId="1560151E" w14:textId="77777777" w:rsidR="009E134C" w:rsidRDefault="009E134C" w:rsidP="00AC5A05">
            <w:pPr>
              <w:pStyle w:val="PlainText"/>
              <w:jc w:val="center"/>
              <w:rPr>
                <w:rFonts w:asciiTheme="minorHAnsi" w:hAnsiTheme="minorHAnsi" w:cs="Times New Roman"/>
                <w:b/>
                <w:i/>
                <w:sz w:val="22"/>
                <w:szCs w:val="22"/>
              </w:rPr>
            </w:pPr>
            <w:r>
              <w:rPr>
                <w:rFonts w:asciiTheme="minorHAnsi" w:hAnsiTheme="minorHAnsi" w:cs="Times New Roman"/>
                <w:b/>
                <w:i/>
                <w:sz w:val="22"/>
                <w:szCs w:val="22"/>
              </w:rPr>
              <w:t>(200.317</w:t>
            </w:r>
          </w:p>
          <w:p w14:paraId="2216D4A6" w14:textId="77777777" w:rsidR="009E134C" w:rsidRDefault="009E134C" w:rsidP="00AC5A05">
            <w:pPr>
              <w:pStyle w:val="PlainText"/>
              <w:jc w:val="center"/>
              <w:rPr>
                <w:rFonts w:asciiTheme="minorHAnsi" w:hAnsiTheme="minorHAnsi" w:cs="Times New Roman"/>
                <w:b/>
                <w:i/>
                <w:sz w:val="22"/>
                <w:szCs w:val="22"/>
              </w:rPr>
            </w:pPr>
            <w:r>
              <w:rPr>
                <w:rFonts w:asciiTheme="minorHAnsi" w:hAnsiTheme="minorHAnsi" w:cs="Times New Roman"/>
                <w:b/>
                <w:i/>
                <w:sz w:val="22"/>
                <w:szCs w:val="22"/>
              </w:rPr>
              <w:t>thru</w:t>
            </w:r>
          </w:p>
          <w:p w14:paraId="60E8B959" w14:textId="77777777" w:rsidR="009E134C" w:rsidRDefault="009E134C" w:rsidP="00AC5A05">
            <w:pPr>
              <w:pStyle w:val="PlainText"/>
              <w:jc w:val="center"/>
              <w:rPr>
                <w:rFonts w:asciiTheme="minorHAnsi" w:hAnsiTheme="minorHAnsi" w:cs="Times New Roman"/>
                <w:b/>
                <w:i/>
                <w:sz w:val="22"/>
                <w:szCs w:val="22"/>
              </w:rPr>
            </w:pPr>
            <w:r>
              <w:rPr>
                <w:rFonts w:asciiTheme="minorHAnsi" w:hAnsiTheme="minorHAnsi" w:cs="Times New Roman"/>
                <w:b/>
                <w:i/>
                <w:sz w:val="22"/>
                <w:szCs w:val="22"/>
              </w:rPr>
              <w:t>200.326)</w:t>
            </w:r>
          </w:p>
          <w:p w14:paraId="5B1B6B64" w14:textId="77777777" w:rsidR="009E134C" w:rsidRPr="00AC5A05" w:rsidRDefault="009E134C" w:rsidP="00AC5A05">
            <w:pPr>
              <w:pStyle w:val="PlainText"/>
              <w:jc w:val="center"/>
              <w:rPr>
                <w:rFonts w:asciiTheme="minorHAnsi" w:hAnsiTheme="minorHAnsi" w:cs="Times New Roman"/>
                <w:b/>
                <w:i/>
                <w:sz w:val="12"/>
                <w:szCs w:val="12"/>
              </w:rPr>
            </w:pPr>
          </w:p>
        </w:tc>
        <w:tc>
          <w:tcPr>
            <w:tcW w:w="12283" w:type="dxa"/>
          </w:tcPr>
          <w:p w14:paraId="368C08D9" w14:textId="0C9272F5" w:rsidR="009E134C" w:rsidRPr="006D640C" w:rsidRDefault="009E134C" w:rsidP="009E2EC1">
            <w:pPr>
              <w:autoSpaceDE w:val="0"/>
              <w:autoSpaceDN w:val="0"/>
              <w:adjustRightInd w:val="0"/>
              <w:jc w:val="both"/>
              <w:rPr>
                <w:rFonts w:ascii="Calibri" w:hAnsi="Calibri"/>
                <w:b w:val="0"/>
                <w:sz w:val="22"/>
                <w:szCs w:val="22"/>
              </w:rPr>
            </w:pPr>
            <w:r w:rsidRPr="006D640C">
              <w:rPr>
                <w:rFonts w:ascii="Calibri" w:hAnsi="Calibri"/>
                <w:b w:val="0"/>
                <w:sz w:val="22"/>
                <w:szCs w:val="22"/>
              </w:rPr>
              <w:t xml:space="preserve">COFAR FAQ .110-6 creates a grace period for the implementation of the Procurement Standards. For an institution’s FY16, it will have the option to use Circular A-110 or the UG. An institution must document whether it is in compliance with A-110 or the UG, and must meet the documented standard. Beginning with an institution’s FY17, it must comply with the Procurement Standards in the </w:t>
            </w:r>
            <w:r w:rsidR="006D640C" w:rsidRPr="006D640C">
              <w:rPr>
                <w:rFonts w:ascii="Calibri" w:hAnsi="Calibri"/>
                <w:b w:val="0"/>
                <w:sz w:val="22"/>
                <w:szCs w:val="22"/>
              </w:rPr>
              <w:t>UG.</w:t>
            </w:r>
          </w:p>
          <w:p w14:paraId="1D985EB0" w14:textId="77777777" w:rsidR="006D640C" w:rsidRPr="006D640C" w:rsidRDefault="006D640C" w:rsidP="009E2EC1">
            <w:pPr>
              <w:autoSpaceDE w:val="0"/>
              <w:autoSpaceDN w:val="0"/>
              <w:adjustRightInd w:val="0"/>
              <w:jc w:val="both"/>
              <w:rPr>
                <w:rFonts w:ascii="Calibri" w:hAnsi="Calibri"/>
                <w:b w:val="0"/>
                <w:sz w:val="22"/>
                <w:szCs w:val="22"/>
              </w:rPr>
            </w:pPr>
          </w:p>
          <w:p w14:paraId="1BE5F6AA" w14:textId="3E90E391" w:rsidR="0025060E" w:rsidRPr="006D640C" w:rsidRDefault="0025060E" w:rsidP="0025060E">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sidR="00BC539F">
              <w:rPr>
                <w:rFonts w:asciiTheme="minorHAnsi" w:hAnsiTheme="minorHAnsi"/>
                <w:b/>
                <w:i/>
                <w:sz w:val="22"/>
                <w:szCs w:val="22"/>
              </w:rPr>
              <w:t>TO</w:t>
            </w:r>
            <w:r w:rsidRPr="006D640C">
              <w:rPr>
                <w:rFonts w:asciiTheme="minorHAnsi" w:hAnsiTheme="minorHAnsi"/>
                <w:b/>
                <w:i/>
                <w:sz w:val="22"/>
                <w:szCs w:val="22"/>
              </w:rPr>
              <w:t xml:space="preserve"> CONSIDER:</w:t>
            </w:r>
          </w:p>
          <w:p w14:paraId="6034986B" w14:textId="77777777" w:rsidR="0025060E" w:rsidRPr="006D640C" w:rsidRDefault="0025060E" w:rsidP="0025060E">
            <w:pPr>
              <w:jc w:val="both"/>
              <w:rPr>
                <w:rFonts w:ascii="Calibri" w:hAnsi="Calibri"/>
                <w:b w:val="0"/>
                <w:sz w:val="12"/>
                <w:szCs w:val="12"/>
              </w:rPr>
            </w:pPr>
          </w:p>
          <w:p w14:paraId="5CC837B5" w14:textId="49FE16CC" w:rsidR="0025060E" w:rsidRPr="006D640C" w:rsidRDefault="0025060E" w:rsidP="004C28F6">
            <w:pPr>
              <w:pStyle w:val="PlainText"/>
              <w:numPr>
                <w:ilvl w:val="0"/>
                <w:numId w:val="14"/>
              </w:numPr>
              <w:jc w:val="both"/>
              <w:rPr>
                <w:rFonts w:ascii="Calibri" w:hAnsi="Calibri"/>
                <w:sz w:val="22"/>
                <w:szCs w:val="22"/>
              </w:rPr>
            </w:pPr>
            <w:r w:rsidRPr="006D640C">
              <w:rPr>
                <w:rFonts w:ascii="Calibri" w:hAnsi="Calibri"/>
                <w:sz w:val="22"/>
                <w:szCs w:val="22"/>
              </w:rPr>
              <w:t>Review new standards and begin consideration of revisions to policies and practices.</w:t>
            </w:r>
          </w:p>
          <w:p w14:paraId="33BD69E0" w14:textId="2504EA1A" w:rsidR="0025060E" w:rsidRPr="00023D76" w:rsidRDefault="0025060E" w:rsidP="004C28F6">
            <w:pPr>
              <w:pStyle w:val="PlainText"/>
              <w:numPr>
                <w:ilvl w:val="0"/>
                <w:numId w:val="14"/>
              </w:numPr>
              <w:jc w:val="both"/>
              <w:rPr>
                <w:rFonts w:ascii="Calibri" w:hAnsi="Calibri"/>
                <w:sz w:val="22"/>
                <w:szCs w:val="22"/>
              </w:rPr>
            </w:pPr>
            <w:r w:rsidRPr="006D640C">
              <w:rPr>
                <w:rFonts w:ascii="Calibri" w:hAnsi="Calibri"/>
                <w:sz w:val="22"/>
                <w:szCs w:val="22"/>
              </w:rPr>
              <w:t xml:space="preserve">Update institutional policy to specify which federal procurement policies will be </w:t>
            </w:r>
            <w:r w:rsidRPr="00023D76">
              <w:rPr>
                <w:rFonts w:ascii="Calibri" w:hAnsi="Calibri"/>
                <w:sz w:val="22"/>
                <w:szCs w:val="22"/>
              </w:rPr>
              <w:t>f</w:t>
            </w:r>
            <w:r w:rsidR="00F1738E">
              <w:rPr>
                <w:rFonts w:ascii="Calibri" w:hAnsi="Calibri"/>
                <w:sz w:val="22"/>
                <w:szCs w:val="22"/>
              </w:rPr>
              <w:t xml:space="preserve">ollowed during the grace period, and be prepared to share </w:t>
            </w:r>
            <w:r w:rsidR="00BC539F">
              <w:rPr>
                <w:rFonts w:ascii="Calibri" w:hAnsi="Calibri"/>
                <w:sz w:val="22"/>
                <w:szCs w:val="22"/>
              </w:rPr>
              <w:t>the institutional policy with auditors.</w:t>
            </w:r>
          </w:p>
          <w:p w14:paraId="5141FD58" w14:textId="4683E1A7" w:rsidR="006D640C" w:rsidRPr="00023D76" w:rsidRDefault="0025060E" w:rsidP="004C28F6">
            <w:pPr>
              <w:pStyle w:val="PlainText"/>
              <w:numPr>
                <w:ilvl w:val="0"/>
                <w:numId w:val="14"/>
              </w:numPr>
              <w:jc w:val="both"/>
              <w:rPr>
                <w:rFonts w:ascii="Calibri" w:hAnsi="Calibri"/>
                <w:sz w:val="22"/>
                <w:szCs w:val="22"/>
              </w:rPr>
            </w:pPr>
            <w:r w:rsidRPr="00023D76">
              <w:rPr>
                <w:rFonts w:ascii="Calibri" w:hAnsi="Calibri"/>
                <w:sz w:val="22"/>
                <w:szCs w:val="22"/>
              </w:rPr>
              <w:t xml:space="preserve">Pay close attention to new developments and work being conducted by COGR and the FDP. </w:t>
            </w:r>
            <w:r w:rsidR="006D640C" w:rsidRPr="00023D76">
              <w:rPr>
                <w:rFonts w:ascii="Calibri" w:hAnsi="Calibri"/>
                <w:b/>
                <w:sz w:val="22"/>
                <w:szCs w:val="22"/>
                <w:u w:val="single"/>
              </w:rPr>
              <w:t>COGR expects to provide additional guidance in 201</w:t>
            </w:r>
            <w:r w:rsidR="00023D76">
              <w:rPr>
                <w:rFonts w:ascii="Calibri" w:hAnsi="Calibri"/>
                <w:b/>
                <w:sz w:val="22"/>
                <w:szCs w:val="22"/>
                <w:u w:val="single"/>
              </w:rPr>
              <w:t>5.</w:t>
            </w:r>
          </w:p>
          <w:p w14:paraId="090C6F40" w14:textId="77777777" w:rsidR="009E134C" w:rsidRPr="00AC5A05" w:rsidRDefault="009E134C" w:rsidP="007C52C6">
            <w:pPr>
              <w:autoSpaceDE w:val="0"/>
              <w:autoSpaceDN w:val="0"/>
              <w:adjustRightInd w:val="0"/>
              <w:jc w:val="both"/>
              <w:rPr>
                <w:rFonts w:ascii="Calibri" w:hAnsi="Calibri"/>
                <w:b w:val="0"/>
                <w:sz w:val="22"/>
                <w:szCs w:val="22"/>
              </w:rPr>
            </w:pPr>
          </w:p>
          <w:p w14:paraId="5B49F65C" w14:textId="77777777" w:rsidR="009E134C" w:rsidRPr="00AC5A05" w:rsidRDefault="009E134C" w:rsidP="009E2EC1">
            <w:pPr>
              <w:autoSpaceDE w:val="0"/>
              <w:autoSpaceDN w:val="0"/>
              <w:adjustRightInd w:val="0"/>
              <w:jc w:val="both"/>
              <w:rPr>
                <w:rFonts w:asciiTheme="minorHAnsi" w:eastAsiaTheme="minorHAnsi" w:hAnsiTheme="minorHAnsi" w:cs="Courier"/>
                <w:b w:val="0"/>
                <w:sz w:val="12"/>
                <w:szCs w:val="12"/>
              </w:rPr>
            </w:pPr>
          </w:p>
        </w:tc>
      </w:tr>
      <w:tr w:rsidR="009E134C" w:rsidRPr="004A46A7" w14:paraId="3D8DA405" w14:textId="77777777" w:rsidTr="000D538B">
        <w:trPr>
          <w:trHeight w:val="432"/>
        </w:trPr>
        <w:tc>
          <w:tcPr>
            <w:tcW w:w="518" w:type="dxa"/>
          </w:tcPr>
          <w:p w14:paraId="6A5F27C1" w14:textId="2E49547B" w:rsidR="009E134C" w:rsidRPr="00D03BFC" w:rsidRDefault="00FE31B3" w:rsidP="00D03BFC">
            <w:pPr>
              <w:pStyle w:val="PlainText"/>
              <w:jc w:val="center"/>
              <w:rPr>
                <w:rFonts w:asciiTheme="minorHAnsi" w:hAnsiTheme="minorHAnsi" w:cs="Times New Roman"/>
                <w:b/>
                <w:sz w:val="22"/>
                <w:szCs w:val="22"/>
              </w:rPr>
            </w:pPr>
            <w:r>
              <w:rPr>
                <w:rFonts w:asciiTheme="minorHAnsi" w:hAnsiTheme="minorHAnsi"/>
                <w:b/>
                <w:sz w:val="22"/>
                <w:szCs w:val="22"/>
              </w:rPr>
              <w:t>6</w:t>
            </w:r>
            <w:r w:rsidR="009E134C" w:rsidRPr="00D03BFC">
              <w:rPr>
                <w:rFonts w:asciiTheme="minorHAnsi" w:hAnsiTheme="minorHAnsi"/>
                <w:b/>
                <w:sz w:val="22"/>
                <w:szCs w:val="22"/>
              </w:rPr>
              <w:t>.</w:t>
            </w:r>
          </w:p>
        </w:tc>
        <w:tc>
          <w:tcPr>
            <w:tcW w:w="1872" w:type="dxa"/>
          </w:tcPr>
          <w:p w14:paraId="5F8515BE" w14:textId="77777777" w:rsidR="009E134C" w:rsidRDefault="009E134C" w:rsidP="00927939">
            <w:pPr>
              <w:pStyle w:val="PlainText"/>
              <w:jc w:val="center"/>
              <w:rPr>
                <w:rFonts w:asciiTheme="minorHAnsi" w:hAnsiTheme="minorHAnsi" w:cs="Times New Roman"/>
                <w:b/>
                <w:i/>
                <w:sz w:val="22"/>
                <w:szCs w:val="22"/>
              </w:rPr>
            </w:pPr>
            <w:r>
              <w:rPr>
                <w:rFonts w:asciiTheme="minorHAnsi" w:hAnsiTheme="minorHAnsi" w:cs="Times New Roman"/>
                <w:b/>
                <w:i/>
                <w:sz w:val="22"/>
                <w:szCs w:val="22"/>
              </w:rPr>
              <w:t>Project</w:t>
            </w:r>
          </w:p>
          <w:p w14:paraId="0F9FF2D1" w14:textId="3BB61830" w:rsidR="009E134C" w:rsidRDefault="009E134C" w:rsidP="00927939">
            <w:pPr>
              <w:pStyle w:val="PlainText"/>
              <w:jc w:val="center"/>
              <w:rPr>
                <w:rFonts w:asciiTheme="minorHAnsi" w:hAnsiTheme="minorHAnsi" w:cs="Times New Roman"/>
                <w:b/>
                <w:i/>
                <w:sz w:val="22"/>
                <w:szCs w:val="22"/>
              </w:rPr>
            </w:pPr>
            <w:r>
              <w:rPr>
                <w:rFonts w:asciiTheme="minorHAnsi" w:hAnsiTheme="minorHAnsi" w:cs="Times New Roman"/>
                <w:b/>
                <w:i/>
                <w:sz w:val="22"/>
                <w:szCs w:val="22"/>
              </w:rPr>
              <w:t xml:space="preserve"> Closeout and the 90-day  requirement</w:t>
            </w:r>
          </w:p>
          <w:p w14:paraId="0632F8C5" w14:textId="77777777" w:rsidR="009E134C" w:rsidRPr="003A4AD0" w:rsidRDefault="009E134C" w:rsidP="00927939">
            <w:pPr>
              <w:pStyle w:val="PlainText"/>
              <w:jc w:val="center"/>
              <w:rPr>
                <w:rFonts w:asciiTheme="minorHAnsi" w:hAnsiTheme="minorHAnsi" w:cs="Times New Roman"/>
                <w:b/>
                <w:i/>
                <w:sz w:val="12"/>
                <w:szCs w:val="12"/>
              </w:rPr>
            </w:pPr>
          </w:p>
          <w:p w14:paraId="6C7E63EC" w14:textId="77777777" w:rsidR="009E134C" w:rsidRPr="003E2F73" w:rsidRDefault="009E134C" w:rsidP="00AC5A05">
            <w:pPr>
              <w:pStyle w:val="PlainText"/>
              <w:jc w:val="center"/>
              <w:rPr>
                <w:rFonts w:asciiTheme="minorHAnsi" w:hAnsiTheme="minorHAnsi" w:cs="Times New Roman"/>
                <w:b/>
                <w:i/>
                <w:sz w:val="22"/>
                <w:szCs w:val="22"/>
              </w:rPr>
            </w:pPr>
            <w:r>
              <w:rPr>
                <w:rFonts w:asciiTheme="minorHAnsi" w:hAnsiTheme="minorHAnsi" w:cs="Times New Roman"/>
                <w:b/>
                <w:i/>
                <w:sz w:val="22"/>
                <w:szCs w:val="22"/>
              </w:rPr>
              <w:t>(200.343)</w:t>
            </w:r>
          </w:p>
        </w:tc>
        <w:tc>
          <w:tcPr>
            <w:tcW w:w="12283" w:type="dxa"/>
          </w:tcPr>
          <w:p w14:paraId="4F29B316" w14:textId="2EEE0995" w:rsidR="006D640C" w:rsidRDefault="006D640C" w:rsidP="00A36C29">
            <w:pPr>
              <w:pStyle w:val="TableContents"/>
              <w:jc w:val="both"/>
              <w:rPr>
                <w:rFonts w:ascii="Calibri" w:hAnsi="Calibri"/>
                <w:b/>
                <w:sz w:val="22"/>
                <w:szCs w:val="22"/>
              </w:rPr>
            </w:pPr>
            <w:r>
              <w:rPr>
                <w:rFonts w:ascii="Calibri" w:hAnsi="Calibri"/>
                <w:sz w:val="22"/>
                <w:szCs w:val="22"/>
              </w:rPr>
              <w:t xml:space="preserve">The </w:t>
            </w:r>
            <w:r w:rsidR="009E134C">
              <w:rPr>
                <w:rFonts w:ascii="Calibri" w:hAnsi="Calibri"/>
                <w:sz w:val="22"/>
                <w:szCs w:val="22"/>
              </w:rPr>
              <w:t xml:space="preserve">UG requires </w:t>
            </w:r>
            <w:r w:rsidR="009E134C" w:rsidRPr="006D640C">
              <w:rPr>
                <w:rFonts w:ascii="Calibri" w:hAnsi="Calibri"/>
                <w:sz w:val="22"/>
                <w:szCs w:val="22"/>
              </w:rPr>
              <w:t xml:space="preserve">all financial, performance and other reports be submitted </w:t>
            </w:r>
            <w:r w:rsidRPr="006D640C">
              <w:rPr>
                <w:rFonts w:ascii="Calibri" w:hAnsi="Calibri"/>
                <w:sz w:val="22"/>
                <w:szCs w:val="22"/>
              </w:rPr>
              <w:t xml:space="preserve">using the longstanding 90-day </w:t>
            </w:r>
            <w:r w:rsidR="009E134C" w:rsidRPr="006D640C">
              <w:rPr>
                <w:rFonts w:ascii="Calibri" w:hAnsi="Calibri"/>
                <w:sz w:val="22"/>
                <w:szCs w:val="22"/>
              </w:rPr>
              <w:t>after the end date of the project</w:t>
            </w:r>
            <w:r w:rsidRPr="006D640C">
              <w:rPr>
                <w:rFonts w:ascii="Calibri" w:hAnsi="Calibri"/>
                <w:sz w:val="22"/>
                <w:szCs w:val="22"/>
              </w:rPr>
              <w:t>,</w:t>
            </w:r>
            <w:r w:rsidR="009E134C" w:rsidRPr="00EE691E">
              <w:rPr>
                <w:rFonts w:ascii="Calibri" w:hAnsi="Calibri"/>
                <w:sz w:val="22"/>
                <w:szCs w:val="22"/>
              </w:rPr>
              <w:t xml:space="preserve"> </w:t>
            </w:r>
            <w:r w:rsidR="009E134C" w:rsidRPr="006D640C">
              <w:rPr>
                <w:rFonts w:ascii="Calibri" w:hAnsi="Calibri"/>
                <w:sz w:val="22"/>
                <w:szCs w:val="22"/>
              </w:rPr>
              <w:t>unless an extension is approved by the awarding agency.</w:t>
            </w:r>
          </w:p>
          <w:p w14:paraId="5563C26B" w14:textId="77777777" w:rsidR="006D640C" w:rsidRDefault="006D640C" w:rsidP="00A36C29">
            <w:pPr>
              <w:pStyle w:val="TableContents"/>
              <w:jc w:val="both"/>
              <w:rPr>
                <w:rFonts w:ascii="Calibri" w:hAnsi="Calibri"/>
                <w:b/>
                <w:sz w:val="22"/>
                <w:szCs w:val="22"/>
              </w:rPr>
            </w:pPr>
          </w:p>
          <w:p w14:paraId="6C6B332F" w14:textId="6AD08B16" w:rsidR="006D640C" w:rsidRPr="006D640C" w:rsidRDefault="000457A9" w:rsidP="006D640C">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6D640C" w:rsidRPr="006D640C">
              <w:rPr>
                <w:rFonts w:asciiTheme="minorHAnsi" w:hAnsiTheme="minorHAnsi"/>
                <w:b/>
                <w:i/>
                <w:sz w:val="22"/>
                <w:szCs w:val="22"/>
              </w:rPr>
              <w:t>:</w:t>
            </w:r>
          </w:p>
          <w:p w14:paraId="679791C0" w14:textId="77777777" w:rsidR="006D640C" w:rsidRPr="006D640C" w:rsidRDefault="006D640C" w:rsidP="006D640C">
            <w:pPr>
              <w:jc w:val="both"/>
              <w:rPr>
                <w:rFonts w:ascii="Calibri" w:hAnsi="Calibri"/>
                <w:b w:val="0"/>
                <w:sz w:val="12"/>
                <w:szCs w:val="12"/>
              </w:rPr>
            </w:pPr>
          </w:p>
          <w:p w14:paraId="3CBF605F" w14:textId="7CF26939" w:rsidR="006D640C" w:rsidRPr="006D640C" w:rsidRDefault="00EE691E" w:rsidP="004C28F6">
            <w:pPr>
              <w:pStyle w:val="PlainText"/>
              <w:numPr>
                <w:ilvl w:val="0"/>
                <w:numId w:val="15"/>
              </w:numPr>
              <w:jc w:val="both"/>
              <w:rPr>
                <w:rFonts w:ascii="Calibri" w:hAnsi="Calibri"/>
                <w:sz w:val="22"/>
                <w:szCs w:val="22"/>
              </w:rPr>
            </w:pPr>
            <w:r>
              <w:rPr>
                <w:rFonts w:ascii="Calibri" w:hAnsi="Calibri"/>
                <w:sz w:val="22"/>
                <w:szCs w:val="22"/>
              </w:rPr>
              <w:t>Some federal agencies have recently implemented technology to tightly monitor the 90 closeout rule. IHEs should review procedures for the timing of final billing and submission of final reports</w:t>
            </w:r>
            <w:r w:rsidR="006D640C" w:rsidRPr="006D640C">
              <w:rPr>
                <w:rFonts w:ascii="Calibri" w:hAnsi="Calibri"/>
                <w:sz w:val="22"/>
                <w:szCs w:val="22"/>
              </w:rPr>
              <w:t>.</w:t>
            </w:r>
          </w:p>
          <w:p w14:paraId="14E0EC63" w14:textId="3120245E" w:rsidR="006D640C" w:rsidRDefault="00EE691E" w:rsidP="004C28F6">
            <w:pPr>
              <w:pStyle w:val="PlainText"/>
              <w:numPr>
                <w:ilvl w:val="0"/>
                <w:numId w:val="15"/>
              </w:numPr>
              <w:jc w:val="both"/>
              <w:rPr>
                <w:rFonts w:ascii="Calibri" w:hAnsi="Calibri"/>
                <w:sz w:val="22"/>
                <w:szCs w:val="22"/>
              </w:rPr>
            </w:pPr>
            <w:r>
              <w:rPr>
                <w:rFonts w:ascii="Calibri" w:hAnsi="Calibri"/>
                <w:sz w:val="22"/>
                <w:szCs w:val="22"/>
              </w:rPr>
              <w:t>If necessary, consider different guidance for Federal versus non-federal awards</w:t>
            </w:r>
            <w:r w:rsidR="006D640C" w:rsidRPr="006D640C">
              <w:rPr>
                <w:rFonts w:ascii="Calibri" w:hAnsi="Calibri"/>
                <w:sz w:val="22"/>
                <w:szCs w:val="22"/>
              </w:rPr>
              <w:t>.</w:t>
            </w:r>
          </w:p>
          <w:p w14:paraId="3920099C" w14:textId="0E5823CF" w:rsidR="00EE691E" w:rsidRPr="0056466D" w:rsidRDefault="00EE691E" w:rsidP="004C28F6">
            <w:pPr>
              <w:pStyle w:val="PlainText"/>
              <w:numPr>
                <w:ilvl w:val="0"/>
                <w:numId w:val="15"/>
              </w:numPr>
              <w:jc w:val="both"/>
              <w:rPr>
                <w:rFonts w:asciiTheme="minorHAnsi" w:hAnsiTheme="minorHAnsi"/>
                <w:sz w:val="22"/>
                <w:szCs w:val="22"/>
              </w:rPr>
            </w:pPr>
            <w:r>
              <w:rPr>
                <w:rFonts w:ascii="Calibri" w:hAnsi="Calibri"/>
                <w:sz w:val="22"/>
                <w:szCs w:val="22"/>
              </w:rPr>
              <w:t xml:space="preserve">Consider cutoff </w:t>
            </w:r>
            <w:r w:rsidRPr="0056466D">
              <w:rPr>
                <w:rFonts w:asciiTheme="minorHAnsi" w:hAnsiTheme="minorHAnsi"/>
                <w:sz w:val="22"/>
                <w:szCs w:val="22"/>
              </w:rPr>
              <w:t>dates for subrecipients and language in subrecipient agreement (FDP templates will be updated with appropriate language).</w:t>
            </w:r>
          </w:p>
          <w:p w14:paraId="6BD90C35" w14:textId="7FE0DFA4" w:rsidR="00EE691E" w:rsidRPr="00FE31B3" w:rsidRDefault="0056466D" w:rsidP="004C28F6">
            <w:pPr>
              <w:pStyle w:val="PlainText"/>
              <w:numPr>
                <w:ilvl w:val="0"/>
                <w:numId w:val="15"/>
              </w:numPr>
              <w:jc w:val="both"/>
              <w:rPr>
                <w:rFonts w:asciiTheme="minorHAnsi" w:hAnsiTheme="minorHAnsi"/>
                <w:sz w:val="22"/>
                <w:szCs w:val="22"/>
              </w:rPr>
            </w:pPr>
            <w:r w:rsidRPr="00FE31B3">
              <w:rPr>
                <w:rFonts w:asciiTheme="minorHAnsi" w:eastAsia="Times New Roman" w:hAnsiTheme="minorHAnsi"/>
                <w:sz w:val="22"/>
                <w:szCs w:val="22"/>
              </w:rPr>
              <w:lastRenderedPageBreak/>
              <w:t>Review the need to update or change procedures for the posting of charges after the closeout period</w:t>
            </w:r>
            <w:r w:rsidR="00EE691E" w:rsidRPr="00FE31B3">
              <w:rPr>
                <w:rFonts w:asciiTheme="minorHAnsi" w:hAnsiTheme="minorHAnsi"/>
                <w:sz w:val="22"/>
                <w:szCs w:val="22"/>
              </w:rPr>
              <w:t>.</w:t>
            </w:r>
          </w:p>
          <w:p w14:paraId="65DE5E03" w14:textId="5DE7797E" w:rsidR="00EE691E" w:rsidRDefault="00EE691E" w:rsidP="004C28F6">
            <w:pPr>
              <w:pStyle w:val="PlainText"/>
              <w:numPr>
                <w:ilvl w:val="0"/>
                <w:numId w:val="15"/>
              </w:numPr>
              <w:jc w:val="both"/>
              <w:rPr>
                <w:rFonts w:ascii="Calibri" w:hAnsi="Calibri"/>
                <w:sz w:val="22"/>
                <w:szCs w:val="22"/>
              </w:rPr>
            </w:pPr>
            <w:r w:rsidRPr="00FE31B3">
              <w:rPr>
                <w:rFonts w:asciiTheme="minorHAnsi" w:hAnsiTheme="minorHAnsi"/>
                <w:sz w:val="22"/>
                <w:szCs w:val="22"/>
              </w:rPr>
              <w:t>COGR is cautiously optimistic that the updated Research Terms and Conditions (as indicated previously</w:t>
            </w:r>
            <w:r w:rsidRPr="0056466D">
              <w:rPr>
                <w:rFonts w:asciiTheme="minorHAnsi" w:hAnsiTheme="minorHAnsi"/>
                <w:sz w:val="22"/>
                <w:szCs w:val="22"/>
              </w:rPr>
              <w:t>, release date uncertain) will extend</w:t>
            </w:r>
            <w:r>
              <w:rPr>
                <w:rFonts w:ascii="Calibri" w:hAnsi="Calibri"/>
                <w:sz w:val="22"/>
                <w:szCs w:val="22"/>
              </w:rPr>
              <w:t xml:space="preserve"> the deadline for certain types of reports (e.g., financial) to 120 days. The treatment of other types of reports is uncertain.</w:t>
            </w:r>
          </w:p>
          <w:p w14:paraId="2C9D7914" w14:textId="77777777" w:rsidR="00FD7429" w:rsidRDefault="00EE691E" w:rsidP="004C28F6">
            <w:pPr>
              <w:pStyle w:val="PlainText"/>
              <w:numPr>
                <w:ilvl w:val="0"/>
                <w:numId w:val="15"/>
              </w:numPr>
              <w:jc w:val="both"/>
              <w:rPr>
                <w:rFonts w:ascii="Calibri" w:hAnsi="Calibri"/>
                <w:sz w:val="22"/>
                <w:szCs w:val="22"/>
              </w:rPr>
            </w:pPr>
            <w:r>
              <w:rPr>
                <w:rFonts w:ascii="Calibri" w:hAnsi="Calibri"/>
                <w:sz w:val="22"/>
                <w:szCs w:val="22"/>
              </w:rPr>
              <w:t>If/when the 120 days is implemented, it is possible there will be differences across Federal agencies (e.g., some may maintain 90 days). Close attention should be paid to these variances.</w:t>
            </w:r>
          </w:p>
          <w:p w14:paraId="142CB4BD" w14:textId="46511643" w:rsidR="00EE691E" w:rsidRDefault="00FD7429" w:rsidP="004C28F6">
            <w:pPr>
              <w:pStyle w:val="PlainText"/>
              <w:numPr>
                <w:ilvl w:val="0"/>
                <w:numId w:val="15"/>
              </w:numPr>
              <w:jc w:val="both"/>
              <w:rPr>
                <w:rFonts w:ascii="Calibri" w:hAnsi="Calibri"/>
                <w:sz w:val="22"/>
                <w:szCs w:val="22"/>
              </w:rPr>
            </w:pPr>
            <w:r>
              <w:rPr>
                <w:rFonts w:ascii="Calibri" w:hAnsi="Calibri"/>
                <w:sz w:val="22"/>
                <w:szCs w:val="22"/>
              </w:rPr>
              <w:t>Attention also should be paid to any agency guidance related to old versus new awards to confirm that both should be treated the same way.</w:t>
            </w:r>
          </w:p>
          <w:p w14:paraId="332B1BA8" w14:textId="77777777" w:rsidR="0056466D" w:rsidRDefault="0056466D" w:rsidP="0035122B">
            <w:pPr>
              <w:pStyle w:val="PlainText"/>
              <w:ind w:left="720"/>
              <w:jc w:val="both"/>
              <w:rPr>
                <w:rFonts w:ascii="Calibri" w:hAnsi="Calibri"/>
                <w:sz w:val="22"/>
                <w:szCs w:val="22"/>
              </w:rPr>
            </w:pPr>
          </w:p>
        </w:tc>
      </w:tr>
      <w:tr w:rsidR="009E134C" w:rsidRPr="004A46A7" w14:paraId="43830F49" w14:textId="77777777" w:rsidTr="000D538B">
        <w:trPr>
          <w:trHeight w:val="432"/>
        </w:trPr>
        <w:tc>
          <w:tcPr>
            <w:tcW w:w="518" w:type="dxa"/>
          </w:tcPr>
          <w:p w14:paraId="7DDA3046" w14:textId="3D21AC41" w:rsidR="009E134C" w:rsidRPr="00D03BFC" w:rsidRDefault="00FE31B3" w:rsidP="00FE31B3">
            <w:pPr>
              <w:pStyle w:val="PlainText"/>
              <w:jc w:val="center"/>
              <w:rPr>
                <w:rFonts w:asciiTheme="minorHAnsi" w:hAnsiTheme="minorHAnsi" w:cs="Times New Roman"/>
                <w:b/>
                <w:sz w:val="22"/>
                <w:szCs w:val="22"/>
              </w:rPr>
            </w:pPr>
            <w:r>
              <w:rPr>
                <w:rFonts w:asciiTheme="minorHAnsi" w:hAnsiTheme="minorHAnsi"/>
                <w:b/>
                <w:sz w:val="22"/>
                <w:szCs w:val="22"/>
              </w:rPr>
              <w:lastRenderedPageBreak/>
              <w:t>7</w:t>
            </w:r>
            <w:r w:rsidR="009E134C" w:rsidRPr="00D03BFC">
              <w:rPr>
                <w:rFonts w:asciiTheme="minorHAnsi" w:hAnsiTheme="minorHAnsi"/>
                <w:b/>
                <w:sz w:val="22"/>
                <w:szCs w:val="22"/>
              </w:rPr>
              <w:t>.</w:t>
            </w:r>
          </w:p>
        </w:tc>
        <w:tc>
          <w:tcPr>
            <w:tcW w:w="1872" w:type="dxa"/>
          </w:tcPr>
          <w:p w14:paraId="367AF32D" w14:textId="77777777" w:rsidR="009E134C" w:rsidRDefault="009E134C" w:rsidP="00927939">
            <w:pPr>
              <w:pStyle w:val="PlainText"/>
              <w:jc w:val="center"/>
              <w:rPr>
                <w:rFonts w:asciiTheme="minorHAnsi" w:hAnsiTheme="minorHAnsi" w:cs="Times New Roman"/>
                <w:b/>
                <w:i/>
                <w:sz w:val="22"/>
                <w:szCs w:val="22"/>
              </w:rPr>
            </w:pPr>
            <w:r>
              <w:rPr>
                <w:rFonts w:asciiTheme="minorHAnsi" w:hAnsiTheme="minorHAnsi" w:cs="Times New Roman"/>
                <w:b/>
                <w:i/>
                <w:sz w:val="22"/>
                <w:szCs w:val="22"/>
              </w:rPr>
              <w:t>Required certifications</w:t>
            </w:r>
          </w:p>
          <w:p w14:paraId="25CFE808" w14:textId="77777777" w:rsidR="009E134C" w:rsidRPr="003A4AD0" w:rsidRDefault="009E134C" w:rsidP="00927939">
            <w:pPr>
              <w:pStyle w:val="PlainText"/>
              <w:jc w:val="center"/>
              <w:rPr>
                <w:rFonts w:asciiTheme="minorHAnsi" w:hAnsiTheme="minorHAnsi" w:cs="Times New Roman"/>
                <w:b/>
                <w:i/>
                <w:sz w:val="12"/>
                <w:szCs w:val="12"/>
              </w:rPr>
            </w:pPr>
          </w:p>
          <w:p w14:paraId="340536DA" w14:textId="77777777" w:rsidR="009E134C" w:rsidRPr="003E2F73" w:rsidRDefault="009E134C" w:rsidP="00781D2A">
            <w:pPr>
              <w:pStyle w:val="PlainText"/>
              <w:jc w:val="center"/>
              <w:rPr>
                <w:rFonts w:asciiTheme="minorHAnsi" w:hAnsiTheme="minorHAnsi" w:cs="Times New Roman"/>
                <w:b/>
                <w:i/>
                <w:sz w:val="22"/>
                <w:szCs w:val="22"/>
              </w:rPr>
            </w:pPr>
            <w:r>
              <w:rPr>
                <w:rFonts w:asciiTheme="minorHAnsi" w:hAnsiTheme="minorHAnsi" w:cs="Times New Roman"/>
                <w:b/>
                <w:i/>
                <w:sz w:val="22"/>
                <w:szCs w:val="22"/>
              </w:rPr>
              <w:t>(200.415)</w:t>
            </w:r>
          </w:p>
        </w:tc>
        <w:tc>
          <w:tcPr>
            <w:tcW w:w="12283" w:type="dxa"/>
          </w:tcPr>
          <w:p w14:paraId="1ECA0C18" w14:textId="3A847EAA" w:rsidR="009E134C" w:rsidRDefault="00FD7429" w:rsidP="00836ABB">
            <w:pPr>
              <w:pStyle w:val="TableContents"/>
              <w:rPr>
                <w:rFonts w:ascii="Calibri" w:eastAsia="Calibri" w:hAnsi="Calibri" w:cs="Calibri"/>
                <w:sz w:val="22"/>
                <w:szCs w:val="22"/>
              </w:rPr>
            </w:pPr>
            <w:r>
              <w:rPr>
                <w:rFonts w:ascii="Calibri" w:hAnsi="Calibri"/>
                <w:sz w:val="22"/>
                <w:szCs w:val="22"/>
              </w:rPr>
              <w:t xml:space="preserve">200.415(a) states that to </w:t>
            </w:r>
            <w:r w:rsidR="009E134C">
              <w:rPr>
                <w:rFonts w:ascii="Calibri" w:hAnsi="Calibri"/>
                <w:sz w:val="22"/>
                <w:szCs w:val="22"/>
              </w:rPr>
              <w:t>assure that expenditures are proper and in accordance with the terms and conditions of the award, the annual and final fiscal reports or vouchers requesting payment under the agreements must include a certification, signed by an official who is authorized to legally bind the non-Federal entity. The certification language must include language as specified in this section</w:t>
            </w:r>
            <w:r>
              <w:rPr>
                <w:rFonts w:ascii="Calibri" w:hAnsi="Calibri"/>
                <w:sz w:val="22"/>
                <w:szCs w:val="22"/>
              </w:rPr>
              <w:t xml:space="preserve"> (see </w:t>
            </w:r>
            <w:r w:rsidR="009E134C">
              <w:rPr>
                <w:rFonts w:ascii="Calibri" w:eastAsia="Calibri" w:hAnsi="Calibri" w:cs="Calibri"/>
                <w:color w:val="000000"/>
                <w:sz w:val="22"/>
                <w:szCs w:val="22"/>
                <w:u w:color="000000"/>
              </w:rPr>
              <w:t>200.415</w:t>
            </w:r>
            <w:r>
              <w:rPr>
                <w:rFonts w:ascii="Calibri" w:eastAsia="Calibri" w:hAnsi="Calibri" w:cs="Calibri"/>
                <w:color w:val="000000"/>
                <w:sz w:val="22"/>
                <w:szCs w:val="22"/>
                <w:u w:color="000000"/>
              </w:rPr>
              <w:t>(a)</w:t>
            </w:r>
            <w:r w:rsidR="009E134C">
              <w:rPr>
                <w:rFonts w:ascii="Calibri" w:eastAsia="Calibri" w:hAnsi="Calibri" w:cs="Calibri"/>
                <w:color w:val="000000"/>
                <w:sz w:val="22"/>
                <w:szCs w:val="22"/>
                <w:u w:color="000000"/>
              </w:rPr>
              <w:t xml:space="preserve"> for </w:t>
            </w:r>
            <w:r>
              <w:rPr>
                <w:rFonts w:ascii="Calibri" w:eastAsia="Calibri" w:hAnsi="Calibri" w:cs="Calibri"/>
                <w:color w:val="000000"/>
                <w:sz w:val="22"/>
                <w:szCs w:val="22"/>
                <w:u w:color="000000"/>
              </w:rPr>
              <w:t xml:space="preserve">exact </w:t>
            </w:r>
            <w:r w:rsidR="009E134C">
              <w:rPr>
                <w:rFonts w:ascii="Calibri" w:eastAsia="Calibri" w:hAnsi="Calibri" w:cs="Calibri"/>
                <w:color w:val="000000"/>
                <w:sz w:val="22"/>
                <w:szCs w:val="22"/>
                <w:u w:color="000000"/>
              </w:rPr>
              <w:t>language and context of the requirement).</w:t>
            </w:r>
          </w:p>
          <w:p w14:paraId="5A034C29" w14:textId="77777777" w:rsidR="00FD7429" w:rsidRDefault="00FD7429" w:rsidP="00FD7429">
            <w:pPr>
              <w:pStyle w:val="TableContents"/>
              <w:jc w:val="both"/>
              <w:rPr>
                <w:rFonts w:ascii="Calibri" w:hAnsi="Calibri"/>
                <w:b/>
                <w:sz w:val="22"/>
                <w:szCs w:val="22"/>
              </w:rPr>
            </w:pPr>
          </w:p>
          <w:p w14:paraId="4B8DA154" w14:textId="62E0C34A" w:rsidR="00FD7429" w:rsidRPr="006D640C" w:rsidRDefault="000457A9" w:rsidP="00FD7429">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FD7429" w:rsidRPr="006D640C">
              <w:rPr>
                <w:rFonts w:asciiTheme="minorHAnsi" w:hAnsiTheme="minorHAnsi"/>
                <w:b/>
                <w:i/>
                <w:sz w:val="22"/>
                <w:szCs w:val="22"/>
              </w:rPr>
              <w:t>:</w:t>
            </w:r>
          </w:p>
          <w:p w14:paraId="1372E497" w14:textId="77777777" w:rsidR="00FD7429" w:rsidRPr="006D640C" w:rsidRDefault="00FD7429" w:rsidP="00FD7429">
            <w:pPr>
              <w:jc w:val="both"/>
              <w:rPr>
                <w:rFonts w:ascii="Calibri" w:hAnsi="Calibri"/>
                <w:b w:val="0"/>
                <w:sz w:val="12"/>
                <w:szCs w:val="12"/>
              </w:rPr>
            </w:pPr>
          </w:p>
          <w:p w14:paraId="662E155D" w14:textId="57432B01" w:rsidR="00FD7429" w:rsidRPr="00FD7429" w:rsidRDefault="009E134C" w:rsidP="004C28F6">
            <w:pPr>
              <w:pStyle w:val="TableContents"/>
              <w:numPr>
                <w:ilvl w:val="0"/>
                <w:numId w:val="16"/>
              </w:numPr>
              <w:rPr>
                <w:rFonts w:ascii="Calibri" w:eastAsia="Calibri" w:hAnsi="Calibri" w:cs="Calibri"/>
                <w:sz w:val="22"/>
                <w:szCs w:val="22"/>
              </w:rPr>
            </w:pPr>
            <w:r>
              <w:rPr>
                <w:rFonts w:ascii="Calibri" w:eastAsia="Calibri" w:hAnsi="Calibri" w:cs="Calibri"/>
                <w:color w:val="000000"/>
                <w:sz w:val="22"/>
                <w:szCs w:val="22"/>
                <w:u w:color="000000"/>
              </w:rPr>
              <w:t>Review and adjust your delegation policies to ensure those responsible for signing financial reports are compliant with the new certification requirements.</w:t>
            </w:r>
          </w:p>
          <w:p w14:paraId="2DF91A6E" w14:textId="1CFDD8A4" w:rsidR="009E134C" w:rsidRDefault="00FD7429" w:rsidP="004C28F6">
            <w:pPr>
              <w:pStyle w:val="TableContents"/>
              <w:numPr>
                <w:ilvl w:val="0"/>
                <w:numId w:val="16"/>
              </w:numPr>
              <w:rPr>
                <w:rFonts w:ascii="Calibri" w:eastAsia="Calibri" w:hAnsi="Calibri" w:cs="Calibri"/>
                <w:sz w:val="22"/>
                <w:szCs w:val="22"/>
              </w:rPr>
            </w:pPr>
            <w:r>
              <w:rPr>
                <w:rFonts w:ascii="Calibri" w:eastAsia="Calibri" w:hAnsi="Calibri" w:cs="Calibri"/>
                <w:color w:val="000000"/>
                <w:sz w:val="22"/>
                <w:szCs w:val="22"/>
                <w:u w:color="000000"/>
              </w:rPr>
              <w:t>Consider simpler certifications, if any, on non-Federal awards.</w:t>
            </w:r>
            <w:r w:rsidR="009E134C">
              <w:rPr>
                <w:rFonts w:ascii="Calibri" w:eastAsia="Calibri" w:hAnsi="Calibri" w:cs="Calibri"/>
                <w:color w:val="000000"/>
                <w:sz w:val="22"/>
                <w:szCs w:val="22"/>
                <w:u w:color="000000"/>
              </w:rPr>
              <w:t xml:space="preserve"> </w:t>
            </w:r>
          </w:p>
          <w:p w14:paraId="7B170144" w14:textId="77777777" w:rsidR="009E134C" w:rsidRDefault="009E134C" w:rsidP="00FD7429">
            <w:pPr>
              <w:pStyle w:val="PlainText"/>
              <w:jc w:val="both"/>
              <w:rPr>
                <w:rFonts w:asciiTheme="minorHAnsi" w:hAnsiTheme="minorHAnsi"/>
                <w:bCs/>
                <w:sz w:val="22"/>
                <w:szCs w:val="22"/>
              </w:rPr>
            </w:pPr>
          </w:p>
        </w:tc>
      </w:tr>
    </w:tbl>
    <w:p w14:paraId="797C7925" w14:textId="77777777" w:rsidR="001B46CA" w:rsidRDefault="001B46CA" w:rsidP="008012EE">
      <w:pPr>
        <w:pStyle w:val="PlainText"/>
        <w:jc w:val="both"/>
        <w:rPr>
          <w:rFonts w:asciiTheme="minorHAnsi" w:hAnsiTheme="minorHAnsi" w:cs="Times New Roman"/>
          <w:sz w:val="22"/>
          <w:szCs w:val="22"/>
        </w:rPr>
      </w:pPr>
    </w:p>
    <w:p w14:paraId="3CCB5759" w14:textId="38DB4215" w:rsidR="00A36C29" w:rsidRDefault="00A36C29">
      <w:pPr>
        <w:spacing w:after="200" w:line="276" w:lineRule="auto"/>
        <w:rPr>
          <w:rFonts w:asciiTheme="minorHAnsi" w:eastAsiaTheme="minorHAnsi" w:hAnsiTheme="minorHAnsi"/>
          <w:b w:val="0"/>
          <w:sz w:val="22"/>
          <w:szCs w:val="22"/>
        </w:rPr>
      </w:pPr>
      <w:r>
        <w:rPr>
          <w:rFonts w:asciiTheme="minorHAnsi" w:hAnsiTheme="minorHAnsi"/>
          <w:sz w:val="22"/>
          <w:szCs w:val="22"/>
        </w:rPr>
        <w:br w:type="page"/>
      </w:r>
    </w:p>
    <w:tbl>
      <w:tblPr>
        <w:tblStyle w:val="TableGrid"/>
        <w:tblW w:w="14130" w:type="dxa"/>
        <w:tblInd w:w="108" w:type="dxa"/>
        <w:tblLook w:val="04A0" w:firstRow="1" w:lastRow="0" w:firstColumn="1" w:lastColumn="0" w:noHBand="0" w:noVBand="1"/>
      </w:tblPr>
      <w:tblGrid>
        <w:gridCol w:w="14130"/>
      </w:tblGrid>
      <w:tr w:rsidR="00860CD3" w:rsidRPr="00B5307A" w14:paraId="550835D0" w14:textId="77777777" w:rsidTr="00B57FF8">
        <w:trPr>
          <w:trHeight w:val="288"/>
        </w:trPr>
        <w:tc>
          <w:tcPr>
            <w:tcW w:w="14130" w:type="dxa"/>
            <w:shd w:val="clear" w:color="auto" w:fill="EEECE1" w:themeFill="background2"/>
          </w:tcPr>
          <w:p w14:paraId="2CBB5D59" w14:textId="77777777" w:rsidR="00860CD3" w:rsidRPr="003B390D" w:rsidRDefault="00860CD3" w:rsidP="00B57FF8">
            <w:pPr>
              <w:pStyle w:val="NoSpacing"/>
              <w:jc w:val="center"/>
              <w:rPr>
                <w:b/>
                <w:i/>
                <w:sz w:val="12"/>
                <w:szCs w:val="12"/>
              </w:rPr>
            </w:pPr>
          </w:p>
          <w:p w14:paraId="2AF8DF8C" w14:textId="51A4C30A" w:rsidR="00860CD3" w:rsidRPr="0029749C" w:rsidRDefault="00860CD3" w:rsidP="00B57FF8">
            <w:pPr>
              <w:pStyle w:val="NoSpacing"/>
              <w:jc w:val="center"/>
              <w:rPr>
                <w:b/>
                <w:i/>
                <w:sz w:val="24"/>
                <w:szCs w:val="24"/>
              </w:rPr>
            </w:pPr>
            <w:r>
              <w:rPr>
                <w:b/>
                <w:i/>
                <w:sz w:val="24"/>
                <w:szCs w:val="24"/>
              </w:rPr>
              <w:t>D</w:t>
            </w:r>
            <w:r w:rsidRPr="0029749C">
              <w:rPr>
                <w:b/>
                <w:i/>
                <w:sz w:val="24"/>
                <w:szCs w:val="24"/>
              </w:rPr>
              <w:t xml:space="preserve">. </w:t>
            </w:r>
            <w:r w:rsidR="00A36C29">
              <w:rPr>
                <w:b/>
                <w:i/>
                <w:sz w:val="24"/>
                <w:szCs w:val="24"/>
              </w:rPr>
              <w:t>SUB</w:t>
            </w:r>
            <w:r>
              <w:rPr>
                <w:rFonts w:cs="Times New Roman"/>
                <w:b/>
                <w:i/>
                <w:sz w:val="24"/>
                <w:szCs w:val="24"/>
              </w:rPr>
              <w:t>AWARD</w:t>
            </w:r>
            <w:r w:rsidR="00A36C29">
              <w:rPr>
                <w:rFonts w:cs="Times New Roman"/>
                <w:b/>
                <w:i/>
                <w:sz w:val="24"/>
                <w:szCs w:val="24"/>
              </w:rPr>
              <w:t>S AND SUBRECIPIENT MONITORING</w:t>
            </w:r>
          </w:p>
          <w:p w14:paraId="28A4CAE3" w14:textId="77777777" w:rsidR="00860CD3" w:rsidRPr="00F16946" w:rsidRDefault="00860CD3" w:rsidP="00B57FF8">
            <w:pPr>
              <w:pStyle w:val="NoSpacing"/>
              <w:jc w:val="both"/>
              <w:rPr>
                <w:b/>
                <w:i/>
                <w:sz w:val="8"/>
                <w:szCs w:val="8"/>
              </w:rPr>
            </w:pPr>
          </w:p>
        </w:tc>
      </w:tr>
    </w:tbl>
    <w:p w14:paraId="3705541D" w14:textId="77777777" w:rsidR="00860CD3" w:rsidRDefault="00860CD3" w:rsidP="00860CD3">
      <w:pPr>
        <w:pStyle w:val="PlainText"/>
        <w:jc w:val="both"/>
        <w:rPr>
          <w:rFonts w:asciiTheme="minorHAnsi" w:hAnsiTheme="minorHAnsi" w:cs="Times New Roman"/>
          <w:sz w:val="22"/>
          <w:szCs w:val="22"/>
        </w:rPr>
      </w:pPr>
    </w:p>
    <w:tbl>
      <w:tblPr>
        <w:tblStyle w:val="TableGrid"/>
        <w:tblW w:w="14673" w:type="dxa"/>
        <w:tblInd w:w="-162" w:type="dxa"/>
        <w:tblLayout w:type="fixed"/>
        <w:tblLook w:val="04A0" w:firstRow="1" w:lastRow="0" w:firstColumn="1" w:lastColumn="0" w:noHBand="0" w:noVBand="1"/>
      </w:tblPr>
      <w:tblGrid>
        <w:gridCol w:w="518"/>
        <w:gridCol w:w="1872"/>
        <w:gridCol w:w="12283"/>
      </w:tblGrid>
      <w:tr w:rsidR="00860CD3" w:rsidRPr="00A116C4" w14:paraId="58CD59C8" w14:textId="77777777" w:rsidTr="000D538B">
        <w:trPr>
          <w:trHeight w:val="432"/>
        </w:trPr>
        <w:tc>
          <w:tcPr>
            <w:tcW w:w="518" w:type="dxa"/>
          </w:tcPr>
          <w:p w14:paraId="6278B76C" w14:textId="77777777" w:rsidR="00860CD3" w:rsidRPr="00D03BFC" w:rsidRDefault="00860CD3" w:rsidP="00B57FF8">
            <w:pPr>
              <w:pStyle w:val="PlainText"/>
              <w:jc w:val="center"/>
              <w:rPr>
                <w:rFonts w:asciiTheme="minorHAnsi" w:hAnsiTheme="minorHAnsi" w:cs="Times New Roman"/>
                <w:b/>
                <w:sz w:val="22"/>
                <w:szCs w:val="22"/>
              </w:rPr>
            </w:pPr>
          </w:p>
          <w:p w14:paraId="4C2190BC" w14:textId="77777777" w:rsidR="00860CD3" w:rsidRPr="00D03BFC" w:rsidRDefault="00860CD3" w:rsidP="00B57FF8">
            <w:pPr>
              <w:pStyle w:val="PlainText"/>
              <w:jc w:val="center"/>
              <w:rPr>
                <w:rFonts w:asciiTheme="minorHAnsi" w:hAnsiTheme="minorHAnsi" w:cs="Times New Roman"/>
                <w:b/>
                <w:sz w:val="22"/>
                <w:szCs w:val="22"/>
              </w:rPr>
            </w:pPr>
            <w:r w:rsidRPr="00D03BFC">
              <w:rPr>
                <w:rFonts w:asciiTheme="minorHAnsi" w:hAnsiTheme="minorHAnsi" w:cs="Times New Roman"/>
                <w:b/>
                <w:sz w:val="22"/>
                <w:szCs w:val="22"/>
              </w:rPr>
              <w:t>#</w:t>
            </w:r>
          </w:p>
        </w:tc>
        <w:tc>
          <w:tcPr>
            <w:tcW w:w="1872" w:type="dxa"/>
          </w:tcPr>
          <w:p w14:paraId="3EBA68B8" w14:textId="77777777" w:rsidR="00860CD3" w:rsidRDefault="00860CD3" w:rsidP="00B57FF8">
            <w:pPr>
              <w:pStyle w:val="PlainText"/>
              <w:jc w:val="center"/>
              <w:rPr>
                <w:rFonts w:asciiTheme="minorHAnsi" w:hAnsiTheme="minorHAnsi" w:cs="Times New Roman"/>
                <w:b/>
                <w:sz w:val="22"/>
                <w:szCs w:val="22"/>
              </w:rPr>
            </w:pPr>
          </w:p>
          <w:p w14:paraId="10502E51" w14:textId="77777777" w:rsidR="00860CD3" w:rsidRPr="00A116C4" w:rsidRDefault="00860CD3" w:rsidP="00B57FF8">
            <w:pPr>
              <w:pStyle w:val="PlainText"/>
              <w:jc w:val="center"/>
              <w:rPr>
                <w:rFonts w:asciiTheme="minorHAnsi" w:hAnsiTheme="minorHAnsi" w:cs="Times New Roman"/>
                <w:b/>
                <w:sz w:val="22"/>
                <w:szCs w:val="22"/>
              </w:rPr>
            </w:pPr>
            <w:r>
              <w:rPr>
                <w:rFonts w:asciiTheme="minorHAnsi" w:hAnsiTheme="minorHAnsi" w:cs="Times New Roman"/>
                <w:b/>
                <w:sz w:val="22"/>
                <w:szCs w:val="22"/>
              </w:rPr>
              <w:t>Item</w:t>
            </w:r>
          </w:p>
        </w:tc>
        <w:tc>
          <w:tcPr>
            <w:tcW w:w="12283" w:type="dxa"/>
          </w:tcPr>
          <w:p w14:paraId="6F0D9A3C" w14:textId="77777777" w:rsidR="00860CD3" w:rsidRDefault="00860CD3" w:rsidP="00B57FF8">
            <w:pPr>
              <w:pStyle w:val="PlainText"/>
              <w:jc w:val="center"/>
              <w:rPr>
                <w:rFonts w:asciiTheme="minorHAnsi" w:hAnsiTheme="minorHAnsi" w:cs="Times New Roman"/>
                <w:b/>
                <w:sz w:val="22"/>
                <w:szCs w:val="22"/>
              </w:rPr>
            </w:pPr>
            <w:r>
              <w:rPr>
                <w:rFonts w:asciiTheme="minorHAnsi" w:hAnsiTheme="minorHAnsi" w:cs="Times New Roman"/>
                <w:b/>
                <w:sz w:val="22"/>
                <w:szCs w:val="22"/>
              </w:rPr>
              <w:t>Summary and</w:t>
            </w:r>
          </w:p>
          <w:p w14:paraId="77E2F491" w14:textId="6F065AC7" w:rsidR="00860CD3" w:rsidRPr="00A116C4" w:rsidRDefault="000457A9" w:rsidP="000457A9">
            <w:pPr>
              <w:pStyle w:val="PlainText"/>
              <w:jc w:val="center"/>
              <w:rPr>
                <w:rFonts w:asciiTheme="minorHAnsi" w:hAnsiTheme="minorHAnsi" w:cs="Times New Roman"/>
                <w:b/>
                <w:sz w:val="22"/>
                <w:szCs w:val="22"/>
              </w:rPr>
            </w:pPr>
            <w:r>
              <w:rPr>
                <w:rFonts w:asciiTheme="minorHAnsi" w:hAnsiTheme="minorHAnsi" w:cs="Times New Roman"/>
                <w:b/>
                <w:sz w:val="22"/>
                <w:szCs w:val="22"/>
              </w:rPr>
              <w:t>Points to</w:t>
            </w:r>
            <w:r w:rsidR="00860CD3">
              <w:rPr>
                <w:rFonts w:asciiTheme="minorHAnsi" w:hAnsiTheme="minorHAnsi" w:cs="Times New Roman"/>
                <w:b/>
                <w:sz w:val="22"/>
                <w:szCs w:val="22"/>
              </w:rPr>
              <w:t xml:space="preserve"> Consider</w:t>
            </w:r>
          </w:p>
        </w:tc>
      </w:tr>
      <w:tr w:rsidR="00860CD3" w:rsidRPr="004A46A7" w14:paraId="665E6680" w14:textId="77777777" w:rsidTr="000D538B">
        <w:trPr>
          <w:trHeight w:val="144"/>
        </w:trPr>
        <w:tc>
          <w:tcPr>
            <w:tcW w:w="518" w:type="dxa"/>
          </w:tcPr>
          <w:p w14:paraId="58FA3847" w14:textId="77777777" w:rsidR="00860CD3" w:rsidRPr="00D03BFC" w:rsidRDefault="00860CD3" w:rsidP="00B57FF8">
            <w:pPr>
              <w:pStyle w:val="PlainText"/>
              <w:jc w:val="center"/>
              <w:rPr>
                <w:rFonts w:asciiTheme="minorHAnsi" w:hAnsiTheme="minorHAnsi"/>
                <w:b/>
                <w:sz w:val="22"/>
                <w:szCs w:val="22"/>
              </w:rPr>
            </w:pPr>
          </w:p>
        </w:tc>
        <w:tc>
          <w:tcPr>
            <w:tcW w:w="1872" w:type="dxa"/>
          </w:tcPr>
          <w:p w14:paraId="124DE7D8" w14:textId="77777777" w:rsidR="00860CD3" w:rsidRDefault="00860CD3" w:rsidP="00B57FF8">
            <w:pPr>
              <w:pStyle w:val="PlainText"/>
              <w:jc w:val="center"/>
              <w:rPr>
                <w:rFonts w:asciiTheme="minorHAnsi" w:hAnsiTheme="minorHAnsi"/>
                <w:b/>
                <w:i/>
                <w:sz w:val="22"/>
                <w:szCs w:val="22"/>
              </w:rPr>
            </w:pPr>
          </w:p>
        </w:tc>
        <w:tc>
          <w:tcPr>
            <w:tcW w:w="12283" w:type="dxa"/>
          </w:tcPr>
          <w:p w14:paraId="51C3FA19" w14:textId="77777777" w:rsidR="00860CD3" w:rsidRPr="00921CCA" w:rsidRDefault="00860CD3" w:rsidP="00B57FF8">
            <w:pPr>
              <w:pStyle w:val="PlainText"/>
              <w:jc w:val="both"/>
              <w:rPr>
                <w:rFonts w:asciiTheme="minorHAnsi" w:hAnsiTheme="minorHAnsi" w:cs="Courier"/>
                <w:sz w:val="22"/>
                <w:szCs w:val="22"/>
              </w:rPr>
            </w:pPr>
          </w:p>
        </w:tc>
      </w:tr>
      <w:tr w:rsidR="00F2478E" w:rsidRPr="004A46A7" w14:paraId="6EFAF718" w14:textId="77777777" w:rsidTr="000D538B">
        <w:trPr>
          <w:trHeight w:val="432"/>
        </w:trPr>
        <w:tc>
          <w:tcPr>
            <w:tcW w:w="518" w:type="dxa"/>
          </w:tcPr>
          <w:p w14:paraId="0588ECB1" w14:textId="571C559D" w:rsidR="00F2478E" w:rsidRPr="00D03BFC" w:rsidRDefault="00A36C29" w:rsidP="00A36C29">
            <w:pPr>
              <w:pStyle w:val="PlainText"/>
              <w:jc w:val="center"/>
              <w:rPr>
                <w:rFonts w:asciiTheme="minorHAnsi" w:hAnsiTheme="minorHAnsi" w:cs="Times New Roman"/>
                <w:b/>
                <w:sz w:val="22"/>
                <w:szCs w:val="22"/>
              </w:rPr>
            </w:pPr>
            <w:r>
              <w:rPr>
                <w:rFonts w:asciiTheme="minorHAnsi" w:hAnsiTheme="minorHAnsi"/>
                <w:b/>
                <w:sz w:val="22"/>
                <w:szCs w:val="22"/>
              </w:rPr>
              <w:t>1</w:t>
            </w:r>
            <w:r w:rsidR="00F2478E" w:rsidRPr="00D03BFC">
              <w:rPr>
                <w:rFonts w:asciiTheme="minorHAnsi" w:hAnsiTheme="minorHAnsi"/>
                <w:b/>
                <w:sz w:val="22"/>
                <w:szCs w:val="22"/>
              </w:rPr>
              <w:t>.</w:t>
            </w:r>
          </w:p>
        </w:tc>
        <w:tc>
          <w:tcPr>
            <w:tcW w:w="1872" w:type="dxa"/>
          </w:tcPr>
          <w:p w14:paraId="2C51FE0C" w14:textId="77777777" w:rsidR="00F2478E" w:rsidRPr="002714B0" w:rsidRDefault="00F2478E"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Payments to subrecipients</w:t>
            </w:r>
          </w:p>
          <w:p w14:paraId="608BE5FA" w14:textId="77777777" w:rsidR="00F2478E" w:rsidRPr="00DD2917" w:rsidRDefault="00F2478E" w:rsidP="00B57FF8">
            <w:pPr>
              <w:pStyle w:val="PlainText"/>
              <w:jc w:val="center"/>
              <w:rPr>
                <w:rFonts w:asciiTheme="minorHAnsi" w:hAnsiTheme="minorHAnsi"/>
                <w:b/>
                <w:i/>
                <w:sz w:val="12"/>
                <w:szCs w:val="12"/>
              </w:rPr>
            </w:pPr>
          </w:p>
          <w:p w14:paraId="356938C4" w14:textId="77777777" w:rsidR="00F2478E" w:rsidRDefault="00F2478E"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(200.305)</w:t>
            </w:r>
          </w:p>
          <w:p w14:paraId="72029CEE" w14:textId="77777777" w:rsidR="00A36C29" w:rsidRPr="003E2F73" w:rsidRDefault="00A36C29" w:rsidP="00B57FF8">
            <w:pPr>
              <w:pStyle w:val="PlainText"/>
              <w:jc w:val="center"/>
              <w:rPr>
                <w:rFonts w:asciiTheme="minorHAnsi" w:hAnsiTheme="minorHAnsi" w:cs="Times New Roman"/>
                <w:b/>
                <w:i/>
                <w:sz w:val="22"/>
                <w:szCs w:val="22"/>
              </w:rPr>
            </w:pPr>
          </w:p>
        </w:tc>
        <w:tc>
          <w:tcPr>
            <w:tcW w:w="12283" w:type="dxa"/>
          </w:tcPr>
          <w:p w14:paraId="694B52FD" w14:textId="07FC0AFD" w:rsidR="00F2478E" w:rsidRPr="00754E67" w:rsidRDefault="00FD7429" w:rsidP="00B57FF8">
            <w:pPr>
              <w:pStyle w:val="PlainText"/>
              <w:jc w:val="both"/>
              <w:rPr>
                <w:rFonts w:ascii="Calibri" w:hAnsi="Calibri"/>
                <w:sz w:val="22"/>
                <w:szCs w:val="22"/>
              </w:rPr>
            </w:pPr>
            <w:r>
              <w:rPr>
                <w:rFonts w:ascii="Calibri" w:hAnsi="Calibri"/>
                <w:sz w:val="22"/>
                <w:szCs w:val="22"/>
              </w:rPr>
              <w:t>200.305(b)(3) states that w</w:t>
            </w:r>
            <w:r w:rsidR="00F2478E" w:rsidRPr="00754E67">
              <w:rPr>
                <w:rFonts w:ascii="Calibri" w:hAnsi="Calibri"/>
                <w:sz w:val="22"/>
                <w:szCs w:val="22"/>
              </w:rPr>
              <w:t>hen the cost reimbursement method of payment is used, payments to subrecipients must be made within 30 calendar days after the receipt of the billing, unless the request is improper.</w:t>
            </w:r>
          </w:p>
          <w:p w14:paraId="79FB8BBA" w14:textId="77777777" w:rsidR="009A1B92" w:rsidRDefault="009A1B92" w:rsidP="009A1B92">
            <w:pPr>
              <w:pStyle w:val="TableContents"/>
              <w:jc w:val="both"/>
              <w:rPr>
                <w:rFonts w:ascii="Calibri" w:hAnsi="Calibri"/>
                <w:b/>
                <w:sz w:val="22"/>
                <w:szCs w:val="22"/>
              </w:rPr>
            </w:pPr>
          </w:p>
          <w:p w14:paraId="422C454C" w14:textId="4C85D629" w:rsidR="009A1B92" w:rsidRPr="006D640C" w:rsidRDefault="00BC539F" w:rsidP="009A1B92">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9A1B92" w:rsidRPr="006D640C">
              <w:rPr>
                <w:rFonts w:asciiTheme="minorHAnsi" w:hAnsiTheme="minorHAnsi"/>
                <w:b/>
                <w:i/>
                <w:sz w:val="22"/>
                <w:szCs w:val="22"/>
              </w:rPr>
              <w:t>:</w:t>
            </w:r>
          </w:p>
          <w:p w14:paraId="6C854BAA" w14:textId="4579802E" w:rsidR="001913E5" w:rsidRPr="0035122B" w:rsidRDefault="00F2478E" w:rsidP="00B57FF8">
            <w:pPr>
              <w:pStyle w:val="PlainText"/>
              <w:jc w:val="both"/>
              <w:rPr>
                <w:rFonts w:ascii="Calibri" w:hAnsi="Calibri"/>
                <w:sz w:val="12"/>
                <w:szCs w:val="12"/>
              </w:rPr>
            </w:pPr>
            <w:r w:rsidRPr="00754E67">
              <w:rPr>
                <w:rFonts w:ascii="Calibri" w:hAnsi="Calibri"/>
                <w:sz w:val="22"/>
                <w:szCs w:val="22"/>
              </w:rPr>
              <w:t xml:space="preserve"> </w:t>
            </w:r>
          </w:p>
          <w:p w14:paraId="49F27BF2" w14:textId="77777777" w:rsidR="009A1B92" w:rsidRDefault="00F2478E" w:rsidP="004C28F6">
            <w:pPr>
              <w:pStyle w:val="PlainText"/>
              <w:numPr>
                <w:ilvl w:val="0"/>
                <w:numId w:val="17"/>
              </w:numPr>
              <w:jc w:val="both"/>
              <w:rPr>
                <w:rFonts w:ascii="Calibri" w:hAnsi="Calibri"/>
                <w:sz w:val="22"/>
                <w:szCs w:val="22"/>
              </w:rPr>
            </w:pPr>
            <w:r w:rsidRPr="00754E67">
              <w:rPr>
                <w:rFonts w:ascii="Calibri" w:hAnsi="Calibri"/>
                <w:sz w:val="22"/>
                <w:szCs w:val="22"/>
              </w:rPr>
              <w:t>Consider review of current procedures for payments, including documenting receipt of invoices and whether payment is occurring timely.</w:t>
            </w:r>
          </w:p>
          <w:p w14:paraId="263EF36E" w14:textId="77777777" w:rsidR="00F2478E" w:rsidRDefault="00F2478E" w:rsidP="00B57FF8">
            <w:pPr>
              <w:pStyle w:val="PlainText"/>
              <w:numPr>
                <w:ilvl w:val="0"/>
                <w:numId w:val="17"/>
              </w:numPr>
              <w:jc w:val="both"/>
              <w:rPr>
                <w:rFonts w:ascii="Calibri" w:hAnsi="Calibri"/>
                <w:sz w:val="22"/>
                <w:szCs w:val="22"/>
              </w:rPr>
            </w:pPr>
            <w:r w:rsidRPr="00754E67">
              <w:rPr>
                <w:rFonts w:ascii="Calibri" w:hAnsi="Calibri"/>
                <w:sz w:val="22"/>
                <w:szCs w:val="22"/>
              </w:rPr>
              <w:t xml:space="preserve"> Consider whether updated procedures are necessary for proper handling of improper invoices (see </w:t>
            </w:r>
            <w:r w:rsidR="009A1B92">
              <w:rPr>
                <w:rFonts w:ascii="Calibri" w:hAnsi="Calibri"/>
                <w:sz w:val="22"/>
                <w:szCs w:val="22"/>
              </w:rPr>
              <w:t>200.</w:t>
            </w:r>
            <w:r w:rsidRPr="00754E67">
              <w:rPr>
                <w:rFonts w:ascii="Calibri" w:hAnsi="Calibri"/>
                <w:sz w:val="22"/>
                <w:szCs w:val="22"/>
              </w:rPr>
              <w:t>305(b)(6))</w:t>
            </w:r>
            <w:r>
              <w:rPr>
                <w:rFonts w:ascii="Calibri" w:hAnsi="Calibri"/>
                <w:sz w:val="22"/>
                <w:szCs w:val="22"/>
              </w:rPr>
              <w:t>.</w:t>
            </w:r>
          </w:p>
          <w:p w14:paraId="616A36C4" w14:textId="0A34CA3B" w:rsidR="00FE31B3" w:rsidRPr="00FE31B3" w:rsidRDefault="00FE31B3" w:rsidP="00FE31B3">
            <w:pPr>
              <w:pStyle w:val="PlainText"/>
              <w:ind w:left="360"/>
              <w:jc w:val="both"/>
              <w:rPr>
                <w:rFonts w:ascii="Calibri" w:hAnsi="Calibri"/>
                <w:sz w:val="22"/>
                <w:szCs w:val="22"/>
              </w:rPr>
            </w:pPr>
          </w:p>
        </w:tc>
      </w:tr>
      <w:tr w:rsidR="00F2478E" w:rsidRPr="004A46A7" w14:paraId="42EE990B" w14:textId="77777777" w:rsidTr="000D538B">
        <w:trPr>
          <w:trHeight w:val="432"/>
        </w:trPr>
        <w:tc>
          <w:tcPr>
            <w:tcW w:w="518" w:type="dxa"/>
          </w:tcPr>
          <w:p w14:paraId="2CE64443" w14:textId="3F71A58F" w:rsidR="00F2478E" w:rsidRPr="00D03BFC" w:rsidRDefault="00A36C29" w:rsidP="00A36C29">
            <w:pPr>
              <w:pStyle w:val="PlainText"/>
              <w:jc w:val="center"/>
              <w:rPr>
                <w:rFonts w:asciiTheme="minorHAnsi" w:hAnsiTheme="minorHAnsi" w:cs="Times New Roman"/>
                <w:b/>
                <w:sz w:val="22"/>
                <w:szCs w:val="22"/>
              </w:rPr>
            </w:pPr>
            <w:r>
              <w:rPr>
                <w:rFonts w:asciiTheme="minorHAnsi" w:hAnsiTheme="minorHAnsi"/>
                <w:b/>
                <w:sz w:val="22"/>
                <w:szCs w:val="22"/>
              </w:rPr>
              <w:t>2</w:t>
            </w:r>
            <w:r w:rsidR="00F2478E" w:rsidRPr="00D03BFC">
              <w:rPr>
                <w:rFonts w:asciiTheme="minorHAnsi" w:hAnsiTheme="minorHAnsi"/>
                <w:b/>
                <w:sz w:val="22"/>
                <w:szCs w:val="22"/>
              </w:rPr>
              <w:t>.</w:t>
            </w:r>
          </w:p>
        </w:tc>
        <w:tc>
          <w:tcPr>
            <w:tcW w:w="1872" w:type="dxa"/>
          </w:tcPr>
          <w:p w14:paraId="0F00989E" w14:textId="77777777" w:rsidR="00F2478E" w:rsidRPr="002714B0" w:rsidRDefault="00F2478E"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Requirements for paying subrecipient F&amp;A</w:t>
            </w:r>
          </w:p>
          <w:p w14:paraId="24EB92A8" w14:textId="77777777" w:rsidR="00F2478E" w:rsidRPr="00DD2917" w:rsidRDefault="00F2478E" w:rsidP="00B57FF8">
            <w:pPr>
              <w:pStyle w:val="PlainText"/>
              <w:jc w:val="center"/>
              <w:rPr>
                <w:rFonts w:asciiTheme="minorHAnsi" w:hAnsiTheme="minorHAnsi"/>
                <w:b/>
                <w:i/>
                <w:sz w:val="12"/>
                <w:szCs w:val="12"/>
              </w:rPr>
            </w:pPr>
          </w:p>
          <w:p w14:paraId="7C6605C7" w14:textId="77777777" w:rsidR="00F2478E" w:rsidRPr="003E2F73" w:rsidRDefault="00F2478E"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(200.331, 200.414)</w:t>
            </w:r>
          </w:p>
        </w:tc>
        <w:tc>
          <w:tcPr>
            <w:tcW w:w="12283" w:type="dxa"/>
          </w:tcPr>
          <w:p w14:paraId="70F89FD2" w14:textId="15E6E6F2" w:rsidR="00F2478E" w:rsidRDefault="00F602CF" w:rsidP="00A36C29">
            <w:pPr>
              <w:pStyle w:val="PlainText"/>
              <w:jc w:val="both"/>
              <w:rPr>
                <w:rFonts w:asciiTheme="minorHAnsi" w:hAnsiTheme="minorHAnsi"/>
                <w:bCs/>
                <w:sz w:val="22"/>
                <w:szCs w:val="22"/>
              </w:rPr>
            </w:pPr>
            <w:r w:rsidRPr="00713319">
              <w:rPr>
                <w:rFonts w:asciiTheme="minorHAnsi" w:hAnsiTheme="minorHAnsi"/>
                <w:bCs/>
                <w:sz w:val="22"/>
                <w:szCs w:val="22"/>
              </w:rPr>
              <w:t xml:space="preserve">Except if the awarding federal program is subject to a reduced F&amp;A rate (conforming to 200.414), pass-through entities must </w:t>
            </w:r>
            <w:r>
              <w:rPr>
                <w:rFonts w:asciiTheme="minorHAnsi" w:hAnsiTheme="minorHAnsi"/>
                <w:bCs/>
                <w:sz w:val="22"/>
                <w:szCs w:val="22"/>
              </w:rPr>
              <w:t>p</w:t>
            </w:r>
            <w:r w:rsidRPr="00713319">
              <w:rPr>
                <w:rFonts w:asciiTheme="minorHAnsi" w:hAnsiTheme="minorHAnsi"/>
                <w:bCs/>
                <w:sz w:val="22"/>
                <w:szCs w:val="22"/>
              </w:rPr>
              <w:t xml:space="preserve">ay the subrecipient’s federally negotiated rate or, if they have never had a rate, either </w:t>
            </w:r>
            <w:r w:rsidR="004E352C">
              <w:rPr>
                <w:rFonts w:asciiTheme="minorHAnsi" w:hAnsiTheme="minorHAnsi"/>
                <w:bCs/>
                <w:sz w:val="22"/>
                <w:szCs w:val="22"/>
              </w:rPr>
              <w:t>pay</w:t>
            </w:r>
            <w:r w:rsidRPr="00713319">
              <w:rPr>
                <w:rFonts w:asciiTheme="minorHAnsi" w:hAnsiTheme="minorHAnsi"/>
                <w:bCs/>
                <w:sz w:val="22"/>
                <w:szCs w:val="22"/>
              </w:rPr>
              <w:t xml:space="preserve"> a</w:t>
            </w:r>
            <w:r>
              <w:rPr>
                <w:rFonts w:asciiTheme="minorHAnsi" w:hAnsiTheme="minorHAnsi"/>
                <w:bCs/>
                <w:sz w:val="22"/>
                <w:szCs w:val="22"/>
              </w:rPr>
              <w:t xml:space="preserve"> de minimus F&amp;A rate of 10% MTDC</w:t>
            </w:r>
            <w:r w:rsidRPr="00713319">
              <w:rPr>
                <w:rFonts w:asciiTheme="minorHAnsi" w:hAnsiTheme="minorHAnsi"/>
                <w:bCs/>
                <w:sz w:val="22"/>
                <w:szCs w:val="22"/>
              </w:rPr>
              <w:t xml:space="preserve"> or negotiate a rate with the subrecipient. </w:t>
            </w:r>
            <w:r w:rsidR="00F2478E" w:rsidRPr="00713319">
              <w:rPr>
                <w:rFonts w:asciiTheme="minorHAnsi" w:hAnsiTheme="minorHAnsi"/>
                <w:bCs/>
                <w:sz w:val="22"/>
                <w:szCs w:val="22"/>
              </w:rPr>
              <w:t>Subrecipients may decline F&amp;A</w:t>
            </w:r>
            <w:r w:rsidR="004E352C">
              <w:rPr>
                <w:rFonts w:asciiTheme="minorHAnsi" w:hAnsiTheme="minorHAnsi"/>
                <w:bCs/>
                <w:sz w:val="22"/>
                <w:szCs w:val="22"/>
              </w:rPr>
              <w:t xml:space="preserve"> reimbursement</w:t>
            </w:r>
            <w:r w:rsidR="00F2478E" w:rsidRPr="00713319">
              <w:rPr>
                <w:rFonts w:asciiTheme="minorHAnsi" w:hAnsiTheme="minorHAnsi"/>
                <w:bCs/>
                <w:sz w:val="22"/>
                <w:szCs w:val="22"/>
              </w:rPr>
              <w:t>, but pass-through entities may not coerce them to accep</w:t>
            </w:r>
            <w:r w:rsidR="00A36C29">
              <w:rPr>
                <w:rFonts w:asciiTheme="minorHAnsi" w:hAnsiTheme="minorHAnsi"/>
                <w:bCs/>
                <w:sz w:val="22"/>
                <w:szCs w:val="22"/>
              </w:rPr>
              <w:t xml:space="preserve">t a rate lower than </w:t>
            </w:r>
            <w:r w:rsidR="004E352C">
              <w:rPr>
                <w:rFonts w:asciiTheme="minorHAnsi" w:hAnsiTheme="minorHAnsi"/>
                <w:bCs/>
                <w:sz w:val="22"/>
                <w:szCs w:val="22"/>
              </w:rPr>
              <w:t>that to which they are entitled</w:t>
            </w:r>
            <w:r w:rsidR="00BC539F">
              <w:rPr>
                <w:rFonts w:asciiTheme="minorHAnsi" w:hAnsiTheme="minorHAnsi"/>
                <w:bCs/>
                <w:sz w:val="22"/>
                <w:szCs w:val="22"/>
              </w:rPr>
              <w:t>.</w:t>
            </w:r>
          </w:p>
          <w:p w14:paraId="2C9358E1" w14:textId="77777777" w:rsidR="00A36C29" w:rsidRPr="00713319" w:rsidRDefault="00A36C29" w:rsidP="00A36C29">
            <w:pPr>
              <w:pStyle w:val="PlainText"/>
              <w:jc w:val="both"/>
              <w:rPr>
                <w:rFonts w:asciiTheme="minorHAnsi" w:hAnsiTheme="minorHAnsi"/>
                <w:bCs/>
                <w:sz w:val="22"/>
                <w:szCs w:val="22"/>
              </w:rPr>
            </w:pPr>
          </w:p>
          <w:p w14:paraId="3C9175BF" w14:textId="089351DE" w:rsidR="009A1B92" w:rsidRPr="006D640C" w:rsidRDefault="009A1B92" w:rsidP="009A1B92">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sidR="00BC539F">
              <w:rPr>
                <w:rFonts w:asciiTheme="minorHAnsi" w:hAnsiTheme="minorHAnsi"/>
                <w:b/>
                <w:i/>
                <w:sz w:val="22"/>
                <w:szCs w:val="22"/>
              </w:rPr>
              <w:t>TO CONSIDER</w:t>
            </w:r>
            <w:r w:rsidRPr="006D640C">
              <w:rPr>
                <w:rFonts w:asciiTheme="minorHAnsi" w:hAnsiTheme="minorHAnsi"/>
                <w:b/>
                <w:i/>
                <w:sz w:val="22"/>
                <w:szCs w:val="22"/>
              </w:rPr>
              <w:t>:</w:t>
            </w:r>
          </w:p>
          <w:p w14:paraId="335EF655" w14:textId="77777777" w:rsidR="009A1B92" w:rsidRPr="0035122B" w:rsidRDefault="009A1B92" w:rsidP="009A1B92">
            <w:pPr>
              <w:pStyle w:val="PlainText"/>
              <w:jc w:val="both"/>
              <w:rPr>
                <w:rFonts w:ascii="Calibri" w:hAnsi="Calibri"/>
                <w:sz w:val="12"/>
                <w:szCs w:val="12"/>
              </w:rPr>
            </w:pPr>
            <w:r w:rsidRPr="00754E67">
              <w:rPr>
                <w:rFonts w:ascii="Calibri" w:hAnsi="Calibri"/>
                <w:sz w:val="22"/>
                <w:szCs w:val="22"/>
              </w:rPr>
              <w:t xml:space="preserve"> </w:t>
            </w:r>
          </w:p>
          <w:p w14:paraId="21ADC56B" w14:textId="7B5574B0" w:rsidR="009A1B92" w:rsidRDefault="00F2478E" w:rsidP="004C28F6">
            <w:pPr>
              <w:pStyle w:val="TableContents"/>
              <w:numPr>
                <w:ilvl w:val="0"/>
                <w:numId w:val="18"/>
              </w:numPr>
              <w:jc w:val="both"/>
              <w:rPr>
                <w:rFonts w:ascii="Calibri" w:hAnsi="Calibri"/>
                <w:sz w:val="22"/>
                <w:szCs w:val="22"/>
              </w:rPr>
            </w:pPr>
            <w:r w:rsidRPr="00713319">
              <w:rPr>
                <w:rFonts w:ascii="Calibri" w:hAnsi="Calibri"/>
                <w:sz w:val="22"/>
                <w:szCs w:val="22"/>
              </w:rPr>
              <w:t>Consider developing a policy to document the rate agreed at the time of a proposal and the basis for the rate (federally-negotiated, de minimus, negotiated with pass-through entity, other).  If the rate used is lower than the rate</w:t>
            </w:r>
            <w:r w:rsidR="004E352C">
              <w:rPr>
                <w:rFonts w:ascii="Calibri" w:hAnsi="Calibri"/>
                <w:sz w:val="22"/>
                <w:szCs w:val="22"/>
              </w:rPr>
              <w:t xml:space="preserve"> to which the subrecipient was entitled</w:t>
            </w:r>
            <w:r w:rsidRPr="00713319">
              <w:rPr>
                <w:rFonts w:ascii="Calibri" w:hAnsi="Calibri"/>
                <w:sz w:val="22"/>
                <w:szCs w:val="22"/>
              </w:rPr>
              <w:t>, consider documenting that such a rate was agreed to voluntarily by the subrecipient.</w:t>
            </w:r>
          </w:p>
          <w:p w14:paraId="0D18374C" w14:textId="067144EB" w:rsidR="00F2478E" w:rsidRDefault="00F2478E" w:rsidP="004C28F6">
            <w:pPr>
              <w:pStyle w:val="TableContents"/>
              <w:numPr>
                <w:ilvl w:val="0"/>
                <w:numId w:val="18"/>
              </w:numPr>
              <w:jc w:val="both"/>
              <w:rPr>
                <w:rFonts w:ascii="Calibri" w:hAnsi="Calibri"/>
                <w:sz w:val="22"/>
                <w:szCs w:val="22"/>
              </w:rPr>
            </w:pPr>
            <w:r w:rsidRPr="00713319">
              <w:rPr>
                <w:rFonts w:ascii="Calibri" w:hAnsi="Calibri"/>
                <w:sz w:val="22"/>
                <w:szCs w:val="22"/>
              </w:rPr>
              <w:t xml:space="preserve"> </w:t>
            </w:r>
            <w:r w:rsidR="009A1B92" w:rsidRPr="00713319">
              <w:rPr>
                <w:rFonts w:ascii="Calibri" w:hAnsi="Calibri"/>
                <w:sz w:val="22"/>
                <w:szCs w:val="22"/>
              </w:rPr>
              <w:t>Consider an institutional approach for managing F&amp;A shortfalls for awards proposed</w:t>
            </w:r>
            <w:r w:rsidR="004E7AC0">
              <w:rPr>
                <w:rFonts w:ascii="Calibri" w:hAnsi="Calibri"/>
                <w:sz w:val="22"/>
                <w:szCs w:val="22"/>
              </w:rPr>
              <w:t>/</w:t>
            </w:r>
            <w:r w:rsidR="009A1B92" w:rsidRPr="00713319">
              <w:rPr>
                <w:rFonts w:ascii="Calibri" w:hAnsi="Calibri"/>
                <w:sz w:val="22"/>
                <w:szCs w:val="22"/>
              </w:rPr>
              <w:t>costed under the old rules</w:t>
            </w:r>
            <w:r w:rsidR="004E7AC0">
              <w:rPr>
                <w:rFonts w:ascii="Calibri" w:hAnsi="Calibri"/>
                <w:sz w:val="22"/>
                <w:szCs w:val="22"/>
              </w:rPr>
              <w:t>,</w:t>
            </w:r>
            <w:r w:rsidR="009A1B92" w:rsidRPr="00713319">
              <w:rPr>
                <w:rFonts w:ascii="Calibri" w:hAnsi="Calibri"/>
                <w:sz w:val="22"/>
                <w:szCs w:val="22"/>
              </w:rPr>
              <w:t xml:space="preserve"> but subsequently awarded under the UG</w:t>
            </w:r>
            <w:r w:rsidR="009A1B92">
              <w:rPr>
                <w:rFonts w:ascii="Calibri" w:hAnsi="Calibri"/>
                <w:sz w:val="22"/>
                <w:szCs w:val="22"/>
              </w:rPr>
              <w:t>.</w:t>
            </w:r>
          </w:p>
          <w:p w14:paraId="3E4EB73A" w14:textId="4193F7BC" w:rsidR="00A36C29" w:rsidRPr="00BC539F" w:rsidRDefault="009A1B92" w:rsidP="00A36C29">
            <w:pPr>
              <w:pStyle w:val="TableContents"/>
              <w:numPr>
                <w:ilvl w:val="0"/>
                <w:numId w:val="18"/>
              </w:numPr>
              <w:jc w:val="both"/>
              <w:rPr>
                <w:rFonts w:ascii="Calibri" w:hAnsi="Calibri"/>
                <w:sz w:val="22"/>
                <w:szCs w:val="22"/>
              </w:rPr>
            </w:pPr>
            <w:r w:rsidRPr="00BC539F">
              <w:rPr>
                <w:rFonts w:ascii="Calibri" w:hAnsi="Calibri"/>
                <w:sz w:val="22"/>
                <w:szCs w:val="22"/>
              </w:rPr>
              <w:t xml:space="preserve">Consider </w:t>
            </w:r>
            <w:r w:rsidR="00BC539F" w:rsidRPr="00BC539F">
              <w:rPr>
                <w:rFonts w:ascii="Calibri" w:hAnsi="Calibri"/>
                <w:sz w:val="22"/>
                <w:szCs w:val="22"/>
              </w:rPr>
              <w:t xml:space="preserve">identifying and publishing the </w:t>
            </w:r>
            <w:r w:rsidR="003206B8" w:rsidRPr="00BC539F">
              <w:rPr>
                <w:rFonts w:ascii="Calibri" w:hAnsi="Calibri"/>
                <w:sz w:val="22"/>
                <w:szCs w:val="22"/>
              </w:rPr>
              <w:t>circumstances</w:t>
            </w:r>
            <w:r w:rsidR="00BC539F" w:rsidRPr="00BC539F">
              <w:rPr>
                <w:rFonts w:ascii="Calibri" w:hAnsi="Calibri"/>
                <w:sz w:val="22"/>
                <w:szCs w:val="22"/>
              </w:rPr>
              <w:t xml:space="preserve"> under which </w:t>
            </w:r>
            <w:r w:rsidRPr="00BC539F">
              <w:rPr>
                <w:rFonts w:ascii="Calibri" w:hAnsi="Calibri"/>
                <w:sz w:val="22"/>
                <w:szCs w:val="22"/>
              </w:rPr>
              <w:t xml:space="preserve">your institution </w:t>
            </w:r>
            <w:r w:rsidR="00BC539F" w:rsidRPr="00BC539F">
              <w:rPr>
                <w:rFonts w:ascii="Calibri" w:hAnsi="Calibri"/>
                <w:sz w:val="22"/>
                <w:szCs w:val="22"/>
              </w:rPr>
              <w:t xml:space="preserve">may be </w:t>
            </w:r>
            <w:r w:rsidRPr="00BC539F">
              <w:rPr>
                <w:rFonts w:ascii="Calibri" w:hAnsi="Calibri"/>
                <w:sz w:val="22"/>
                <w:szCs w:val="22"/>
              </w:rPr>
              <w:t>willing to negotiate an F&amp;A rate with a proposed subrecipient</w:t>
            </w:r>
            <w:r w:rsidR="00BC539F" w:rsidRPr="00BC539F">
              <w:rPr>
                <w:rFonts w:ascii="Calibri" w:hAnsi="Calibri"/>
                <w:sz w:val="22"/>
                <w:szCs w:val="22"/>
              </w:rPr>
              <w:t xml:space="preserve"> who does not have a federally negotiated rate.</w:t>
            </w:r>
          </w:p>
          <w:p w14:paraId="2C8FB3C0" w14:textId="77777777" w:rsidR="00F2478E" w:rsidRPr="00713319" w:rsidRDefault="00F2478E" w:rsidP="009A1B92">
            <w:pPr>
              <w:pStyle w:val="TableContents"/>
              <w:jc w:val="both"/>
              <w:rPr>
                <w:rFonts w:asciiTheme="minorHAnsi" w:hAnsiTheme="minorHAnsi"/>
                <w:bCs/>
                <w:sz w:val="22"/>
                <w:szCs w:val="22"/>
              </w:rPr>
            </w:pPr>
          </w:p>
        </w:tc>
      </w:tr>
      <w:tr w:rsidR="00F2478E" w:rsidRPr="004A46A7" w14:paraId="5BD54C24" w14:textId="77777777" w:rsidTr="000D538B">
        <w:trPr>
          <w:trHeight w:val="432"/>
        </w:trPr>
        <w:tc>
          <w:tcPr>
            <w:tcW w:w="518" w:type="dxa"/>
          </w:tcPr>
          <w:p w14:paraId="56721236" w14:textId="2EF971BB" w:rsidR="00F2478E" w:rsidRPr="00D03BFC" w:rsidRDefault="00A36C29" w:rsidP="00A36C29">
            <w:pPr>
              <w:pStyle w:val="PlainText"/>
              <w:jc w:val="center"/>
              <w:rPr>
                <w:rFonts w:asciiTheme="minorHAnsi" w:hAnsiTheme="minorHAnsi"/>
                <w:b/>
                <w:sz w:val="22"/>
                <w:szCs w:val="22"/>
              </w:rPr>
            </w:pPr>
            <w:r>
              <w:rPr>
                <w:rFonts w:asciiTheme="minorHAnsi" w:hAnsiTheme="minorHAnsi"/>
                <w:b/>
                <w:sz w:val="22"/>
                <w:szCs w:val="22"/>
              </w:rPr>
              <w:t>3</w:t>
            </w:r>
            <w:r w:rsidR="00F2478E">
              <w:rPr>
                <w:rFonts w:asciiTheme="minorHAnsi" w:hAnsiTheme="minorHAnsi"/>
                <w:b/>
                <w:sz w:val="22"/>
                <w:szCs w:val="22"/>
              </w:rPr>
              <w:t>.</w:t>
            </w:r>
          </w:p>
        </w:tc>
        <w:tc>
          <w:tcPr>
            <w:tcW w:w="1872" w:type="dxa"/>
          </w:tcPr>
          <w:p w14:paraId="750D4432" w14:textId="77777777" w:rsidR="00A36C29" w:rsidRDefault="00F2478E" w:rsidP="00A36C29">
            <w:pPr>
              <w:pStyle w:val="PlainText"/>
              <w:jc w:val="center"/>
              <w:rPr>
                <w:rFonts w:asciiTheme="minorHAnsi" w:hAnsiTheme="minorHAnsi" w:cs="Times New Roman"/>
                <w:b/>
                <w:i/>
                <w:sz w:val="22"/>
                <w:szCs w:val="22"/>
              </w:rPr>
            </w:pPr>
            <w:r w:rsidRPr="00754E67">
              <w:rPr>
                <w:rFonts w:asciiTheme="minorHAnsi" w:hAnsiTheme="minorHAnsi" w:cs="Times New Roman"/>
                <w:b/>
                <w:i/>
                <w:sz w:val="22"/>
                <w:szCs w:val="22"/>
              </w:rPr>
              <w:t>Mandatory new data elements</w:t>
            </w:r>
          </w:p>
          <w:p w14:paraId="6786786F" w14:textId="77777777" w:rsidR="00A36C29" w:rsidRPr="009A1B92" w:rsidRDefault="00A36C29" w:rsidP="00A36C29">
            <w:pPr>
              <w:pStyle w:val="PlainText"/>
              <w:jc w:val="center"/>
              <w:rPr>
                <w:rFonts w:asciiTheme="minorHAnsi" w:hAnsiTheme="minorHAnsi" w:cs="Times New Roman"/>
                <w:b/>
                <w:i/>
                <w:sz w:val="12"/>
                <w:szCs w:val="12"/>
              </w:rPr>
            </w:pPr>
          </w:p>
          <w:p w14:paraId="6D68B4E6" w14:textId="77777777" w:rsidR="00F2478E" w:rsidRDefault="00F2478E" w:rsidP="00A36C29">
            <w:pPr>
              <w:pStyle w:val="PlainText"/>
              <w:jc w:val="center"/>
              <w:rPr>
                <w:rFonts w:asciiTheme="minorHAnsi" w:hAnsiTheme="minorHAnsi" w:cs="Times New Roman"/>
                <w:b/>
                <w:i/>
                <w:sz w:val="22"/>
                <w:szCs w:val="22"/>
              </w:rPr>
            </w:pPr>
            <w:r w:rsidRPr="00754E67">
              <w:rPr>
                <w:rFonts w:asciiTheme="minorHAnsi" w:hAnsiTheme="minorHAnsi" w:cs="Times New Roman"/>
                <w:b/>
                <w:i/>
                <w:sz w:val="22"/>
                <w:szCs w:val="22"/>
              </w:rPr>
              <w:t>(200.331)</w:t>
            </w:r>
          </w:p>
          <w:p w14:paraId="67A1DCD5" w14:textId="2CC71B22" w:rsidR="00A36C29" w:rsidRPr="00754E67" w:rsidRDefault="00A36C29" w:rsidP="00A36C29">
            <w:pPr>
              <w:pStyle w:val="PlainText"/>
              <w:jc w:val="center"/>
              <w:rPr>
                <w:rFonts w:asciiTheme="minorHAnsi" w:hAnsiTheme="minorHAnsi" w:cs="Times New Roman"/>
                <w:sz w:val="22"/>
                <w:szCs w:val="22"/>
              </w:rPr>
            </w:pPr>
          </w:p>
        </w:tc>
        <w:tc>
          <w:tcPr>
            <w:tcW w:w="12283" w:type="dxa"/>
          </w:tcPr>
          <w:p w14:paraId="554BDBBF" w14:textId="51FA1745" w:rsidR="001913E5" w:rsidRPr="00C94471" w:rsidRDefault="009A1B92" w:rsidP="001913E5">
            <w:pPr>
              <w:pStyle w:val="TableContents"/>
              <w:jc w:val="both"/>
              <w:rPr>
                <w:rFonts w:ascii="Calibri" w:hAnsi="Calibri"/>
                <w:sz w:val="22"/>
                <w:szCs w:val="22"/>
              </w:rPr>
            </w:pPr>
            <w:r w:rsidRPr="00C94471">
              <w:rPr>
                <w:rFonts w:ascii="Calibri" w:hAnsi="Calibri"/>
                <w:sz w:val="22"/>
                <w:szCs w:val="22"/>
              </w:rPr>
              <w:t>200.331(a) includes a list of the mandatory new data elements.</w:t>
            </w:r>
          </w:p>
          <w:p w14:paraId="621E6CB0" w14:textId="77777777" w:rsidR="009A1B92" w:rsidRPr="00C94471" w:rsidRDefault="009A1B92" w:rsidP="001913E5">
            <w:pPr>
              <w:pStyle w:val="TableContents"/>
              <w:jc w:val="both"/>
              <w:rPr>
                <w:rFonts w:ascii="Calibri" w:hAnsi="Calibri"/>
                <w:sz w:val="22"/>
                <w:szCs w:val="22"/>
              </w:rPr>
            </w:pPr>
          </w:p>
          <w:p w14:paraId="3FD1D71A" w14:textId="6652736D" w:rsidR="009A1B92" w:rsidRPr="006D640C" w:rsidRDefault="00BC539F" w:rsidP="009A1B92">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9A1B92" w:rsidRPr="006D640C">
              <w:rPr>
                <w:rFonts w:asciiTheme="minorHAnsi" w:hAnsiTheme="minorHAnsi"/>
                <w:b/>
                <w:i/>
                <w:sz w:val="22"/>
                <w:szCs w:val="22"/>
              </w:rPr>
              <w:t>:</w:t>
            </w:r>
          </w:p>
          <w:p w14:paraId="7035E632" w14:textId="77777777" w:rsidR="009A1B92" w:rsidRPr="0035122B" w:rsidRDefault="009A1B92" w:rsidP="009A1B92">
            <w:pPr>
              <w:pStyle w:val="PlainText"/>
              <w:jc w:val="both"/>
              <w:rPr>
                <w:rFonts w:ascii="Calibri" w:hAnsi="Calibri"/>
                <w:sz w:val="12"/>
                <w:szCs w:val="12"/>
              </w:rPr>
            </w:pPr>
            <w:r w:rsidRPr="00754E67">
              <w:rPr>
                <w:rFonts w:ascii="Calibri" w:hAnsi="Calibri"/>
                <w:sz w:val="22"/>
                <w:szCs w:val="22"/>
              </w:rPr>
              <w:t xml:space="preserve"> </w:t>
            </w:r>
          </w:p>
          <w:p w14:paraId="117E2FFB" w14:textId="655303B8" w:rsidR="009A1B92" w:rsidRDefault="00F2478E" w:rsidP="004C28F6">
            <w:pPr>
              <w:pStyle w:val="TableContents"/>
              <w:numPr>
                <w:ilvl w:val="0"/>
                <w:numId w:val="19"/>
              </w:numPr>
              <w:jc w:val="both"/>
              <w:rPr>
                <w:rFonts w:asciiTheme="minorHAnsi" w:hAnsiTheme="minorHAnsi"/>
                <w:bCs/>
                <w:sz w:val="22"/>
                <w:szCs w:val="22"/>
              </w:rPr>
            </w:pPr>
            <w:r>
              <w:rPr>
                <w:rFonts w:asciiTheme="minorHAnsi" w:hAnsiTheme="minorHAnsi"/>
                <w:bCs/>
                <w:sz w:val="22"/>
                <w:szCs w:val="22"/>
              </w:rPr>
              <w:t>Revise</w:t>
            </w:r>
            <w:r w:rsidRPr="00713319">
              <w:rPr>
                <w:rFonts w:asciiTheme="minorHAnsi" w:hAnsiTheme="minorHAnsi"/>
                <w:bCs/>
                <w:sz w:val="22"/>
                <w:szCs w:val="22"/>
              </w:rPr>
              <w:t xml:space="preserve"> local subaward templates (or use FDP templates) to ensure that the several new data elements required under th</w:t>
            </w:r>
            <w:r w:rsidR="009A1B92">
              <w:rPr>
                <w:rFonts w:asciiTheme="minorHAnsi" w:hAnsiTheme="minorHAnsi"/>
                <w:bCs/>
                <w:sz w:val="22"/>
                <w:szCs w:val="22"/>
              </w:rPr>
              <w:t xml:space="preserve">is </w:t>
            </w:r>
            <w:r w:rsidR="009A1B92">
              <w:rPr>
                <w:rFonts w:asciiTheme="minorHAnsi" w:hAnsiTheme="minorHAnsi"/>
                <w:bCs/>
                <w:sz w:val="22"/>
                <w:szCs w:val="22"/>
              </w:rPr>
              <w:lastRenderedPageBreak/>
              <w:t xml:space="preserve">section are </w:t>
            </w:r>
            <w:r w:rsidRPr="00713319">
              <w:rPr>
                <w:rFonts w:asciiTheme="minorHAnsi" w:hAnsiTheme="minorHAnsi"/>
                <w:bCs/>
                <w:sz w:val="22"/>
                <w:szCs w:val="22"/>
              </w:rPr>
              <w:t xml:space="preserve">included in each subaward.  </w:t>
            </w:r>
          </w:p>
          <w:p w14:paraId="47A1B93C" w14:textId="3CC2A0AE" w:rsidR="00F2478E" w:rsidRPr="00713319" w:rsidRDefault="00F2478E" w:rsidP="009A1B92">
            <w:pPr>
              <w:pStyle w:val="TableContents"/>
              <w:ind w:left="720"/>
              <w:jc w:val="both"/>
              <w:rPr>
                <w:rFonts w:asciiTheme="minorHAnsi" w:hAnsiTheme="minorHAnsi"/>
                <w:bCs/>
                <w:sz w:val="22"/>
                <w:szCs w:val="22"/>
              </w:rPr>
            </w:pPr>
          </w:p>
        </w:tc>
      </w:tr>
      <w:tr w:rsidR="00F2478E" w:rsidRPr="004A46A7" w14:paraId="60DF184C" w14:textId="77777777" w:rsidTr="000D538B">
        <w:trPr>
          <w:trHeight w:val="432"/>
        </w:trPr>
        <w:tc>
          <w:tcPr>
            <w:tcW w:w="518" w:type="dxa"/>
          </w:tcPr>
          <w:p w14:paraId="20D6F764" w14:textId="58D53170" w:rsidR="00F2478E" w:rsidRPr="00D03BFC" w:rsidRDefault="00A36C29" w:rsidP="00A36C29">
            <w:pPr>
              <w:pStyle w:val="PlainText"/>
              <w:jc w:val="center"/>
              <w:rPr>
                <w:rFonts w:asciiTheme="minorHAnsi" w:hAnsiTheme="minorHAnsi"/>
                <w:b/>
                <w:sz w:val="22"/>
                <w:szCs w:val="22"/>
              </w:rPr>
            </w:pPr>
            <w:r>
              <w:rPr>
                <w:rFonts w:asciiTheme="minorHAnsi" w:hAnsiTheme="minorHAnsi"/>
                <w:b/>
                <w:sz w:val="22"/>
                <w:szCs w:val="22"/>
              </w:rPr>
              <w:lastRenderedPageBreak/>
              <w:t>4</w:t>
            </w:r>
            <w:r w:rsidR="00F2478E">
              <w:rPr>
                <w:rFonts w:asciiTheme="minorHAnsi" w:hAnsiTheme="minorHAnsi"/>
                <w:b/>
                <w:sz w:val="22"/>
                <w:szCs w:val="22"/>
              </w:rPr>
              <w:t>.</w:t>
            </w:r>
          </w:p>
        </w:tc>
        <w:tc>
          <w:tcPr>
            <w:tcW w:w="1872" w:type="dxa"/>
          </w:tcPr>
          <w:p w14:paraId="64F0DBAE" w14:textId="77777777" w:rsidR="00A36C29" w:rsidRDefault="00F2478E"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Subaward Financial and Progress Reports</w:t>
            </w:r>
          </w:p>
          <w:p w14:paraId="3AACA80C" w14:textId="77777777" w:rsidR="00A36C29" w:rsidRPr="0035122B" w:rsidRDefault="00A36C29" w:rsidP="00B57FF8">
            <w:pPr>
              <w:pStyle w:val="PlainText"/>
              <w:jc w:val="center"/>
              <w:rPr>
                <w:rFonts w:asciiTheme="minorHAnsi" w:hAnsiTheme="minorHAnsi" w:cs="Times New Roman"/>
                <w:b/>
                <w:i/>
                <w:sz w:val="12"/>
                <w:szCs w:val="12"/>
              </w:rPr>
            </w:pPr>
          </w:p>
          <w:p w14:paraId="7A9A8F1D" w14:textId="77777777" w:rsidR="00F2478E" w:rsidRDefault="00F2478E"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 xml:space="preserve"> (200.331, 200.328)</w:t>
            </w:r>
          </w:p>
          <w:p w14:paraId="2E5F2751" w14:textId="0CB799F9" w:rsidR="00A36C29" w:rsidRDefault="00A36C29" w:rsidP="00B57FF8">
            <w:pPr>
              <w:pStyle w:val="PlainText"/>
              <w:jc w:val="center"/>
              <w:rPr>
                <w:rFonts w:asciiTheme="minorHAnsi" w:hAnsiTheme="minorHAnsi" w:cs="Times New Roman"/>
                <w:b/>
                <w:i/>
                <w:sz w:val="22"/>
                <w:szCs w:val="22"/>
              </w:rPr>
            </w:pPr>
          </w:p>
        </w:tc>
        <w:tc>
          <w:tcPr>
            <w:tcW w:w="12283" w:type="dxa"/>
          </w:tcPr>
          <w:p w14:paraId="5804D967" w14:textId="119B1033" w:rsidR="008E1E17" w:rsidRDefault="008E1E17" w:rsidP="008E1E17">
            <w:pPr>
              <w:pStyle w:val="PlainText"/>
              <w:jc w:val="both"/>
              <w:rPr>
                <w:rFonts w:asciiTheme="minorHAnsi" w:hAnsiTheme="minorHAnsi"/>
                <w:bCs/>
                <w:sz w:val="22"/>
                <w:szCs w:val="22"/>
              </w:rPr>
            </w:pPr>
            <w:r>
              <w:rPr>
                <w:rFonts w:asciiTheme="minorHAnsi" w:hAnsiTheme="minorHAnsi"/>
                <w:bCs/>
                <w:sz w:val="22"/>
                <w:szCs w:val="22"/>
              </w:rPr>
              <w:t>200.331(d)(1) states that p</w:t>
            </w:r>
            <w:r w:rsidR="00F2478E" w:rsidRPr="00713319">
              <w:rPr>
                <w:rFonts w:asciiTheme="minorHAnsi" w:hAnsiTheme="minorHAnsi"/>
                <w:bCs/>
                <w:sz w:val="22"/>
                <w:szCs w:val="22"/>
              </w:rPr>
              <w:t>ass-through entities must specify any required financial and programmatic reports in their subawards, and are responsible for reviewing such reports.</w:t>
            </w:r>
          </w:p>
          <w:p w14:paraId="137425A5" w14:textId="4D152D9E" w:rsidR="00F2478E" w:rsidRDefault="00F2478E" w:rsidP="008E1E17">
            <w:pPr>
              <w:pStyle w:val="PlainText"/>
              <w:jc w:val="both"/>
              <w:rPr>
                <w:rFonts w:asciiTheme="minorHAnsi" w:hAnsiTheme="minorHAnsi"/>
                <w:bCs/>
                <w:sz w:val="22"/>
                <w:szCs w:val="22"/>
              </w:rPr>
            </w:pPr>
            <w:r w:rsidRPr="00713319">
              <w:rPr>
                <w:rFonts w:asciiTheme="minorHAnsi" w:hAnsiTheme="minorHAnsi"/>
                <w:bCs/>
                <w:sz w:val="22"/>
                <w:szCs w:val="22"/>
              </w:rPr>
              <w:t xml:space="preserve"> </w:t>
            </w:r>
          </w:p>
          <w:p w14:paraId="3F2AE34E" w14:textId="27629A75" w:rsidR="008E1E17" w:rsidRDefault="00BC539F" w:rsidP="008E1E17">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8E1E17" w:rsidRPr="006D640C">
              <w:rPr>
                <w:rFonts w:asciiTheme="minorHAnsi" w:hAnsiTheme="minorHAnsi"/>
                <w:b/>
                <w:i/>
                <w:sz w:val="22"/>
                <w:szCs w:val="22"/>
              </w:rPr>
              <w:t>:</w:t>
            </w:r>
          </w:p>
          <w:p w14:paraId="5C851D38" w14:textId="77777777" w:rsidR="008E1E17" w:rsidRPr="0035122B" w:rsidRDefault="008E1E17" w:rsidP="008E1E17">
            <w:pPr>
              <w:pStyle w:val="TableContents"/>
              <w:jc w:val="both"/>
              <w:rPr>
                <w:rFonts w:asciiTheme="minorHAnsi" w:hAnsiTheme="minorHAnsi"/>
                <w:b/>
                <w:i/>
                <w:sz w:val="12"/>
                <w:szCs w:val="12"/>
              </w:rPr>
            </w:pPr>
          </w:p>
          <w:p w14:paraId="4F4FDBB5" w14:textId="77777777" w:rsidR="008E1E17" w:rsidRDefault="008E1E17" w:rsidP="004C28F6">
            <w:pPr>
              <w:pStyle w:val="TableContents"/>
              <w:numPr>
                <w:ilvl w:val="0"/>
                <w:numId w:val="20"/>
              </w:numPr>
              <w:jc w:val="both"/>
              <w:rPr>
                <w:rFonts w:asciiTheme="minorHAnsi" w:hAnsiTheme="minorHAnsi"/>
                <w:bCs/>
                <w:sz w:val="22"/>
                <w:szCs w:val="22"/>
              </w:rPr>
            </w:pPr>
            <w:r w:rsidRPr="00713319">
              <w:rPr>
                <w:rFonts w:asciiTheme="minorHAnsi" w:hAnsiTheme="minorHAnsi"/>
                <w:bCs/>
                <w:sz w:val="22"/>
                <w:szCs w:val="22"/>
              </w:rPr>
              <w:t>Review subaward issuance procedures to ensure desired reports are included.</w:t>
            </w:r>
          </w:p>
          <w:p w14:paraId="3BB11CE8" w14:textId="77777777" w:rsidR="008E1E17" w:rsidRDefault="008E1E17" w:rsidP="004C28F6">
            <w:pPr>
              <w:pStyle w:val="TableContents"/>
              <w:numPr>
                <w:ilvl w:val="0"/>
                <w:numId w:val="20"/>
              </w:numPr>
              <w:jc w:val="both"/>
              <w:rPr>
                <w:rFonts w:asciiTheme="minorHAnsi" w:hAnsiTheme="minorHAnsi"/>
                <w:bCs/>
                <w:sz w:val="22"/>
                <w:szCs w:val="22"/>
              </w:rPr>
            </w:pPr>
            <w:r w:rsidRPr="00713319">
              <w:rPr>
                <w:rFonts w:asciiTheme="minorHAnsi" w:hAnsiTheme="minorHAnsi"/>
                <w:bCs/>
                <w:sz w:val="22"/>
                <w:szCs w:val="22"/>
              </w:rPr>
              <w:t xml:space="preserve">Review </w:t>
            </w:r>
            <w:r>
              <w:rPr>
                <w:rFonts w:asciiTheme="minorHAnsi" w:hAnsiTheme="minorHAnsi"/>
                <w:bCs/>
                <w:sz w:val="22"/>
                <w:szCs w:val="22"/>
              </w:rPr>
              <w:t xml:space="preserve">subrecipient monitoring </w:t>
            </w:r>
            <w:r w:rsidRPr="00713319">
              <w:rPr>
                <w:rFonts w:asciiTheme="minorHAnsi" w:hAnsiTheme="minorHAnsi"/>
                <w:bCs/>
                <w:sz w:val="22"/>
                <w:szCs w:val="22"/>
              </w:rPr>
              <w:t>procedures to ensure receipt and review of subrecipient programmatic reports and financial reports/invoices.</w:t>
            </w:r>
            <w:r>
              <w:rPr>
                <w:rFonts w:asciiTheme="minorHAnsi" w:hAnsiTheme="minorHAnsi"/>
                <w:bCs/>
                <w:sz w:val="22"/>
                <w:szCs w:val="22"/>
              </w:rPr>
              <w:t xml:space="preserve">  Ensure mechanism for documenting reviews for audit purposes.</w:t>
            </w:r>
          </w:p>
          <w:p w14:paraId="28DDE418" w14:textId="77777777" w:rsidR="007D1DEE" w:rsidRPr="00713319" w:rsidRDefault="007D1DEE" w:rsidP="008E1E17">
            <w:pPr>
              <w:pStyle w:val="TableContents"/>
              <w:ind w:left="720"/>
              <w:jc w:val="both"/>
            </w:pPr>
          </w:p>
        </w:tc>
      </w:tr>
      <w:tr w:rsidR="00F2478E" w:rsidRPr="004A46A7" w14:paraId="52953C76" w14:textId="77777777" w:rsidTr="000D538B">
        <w:trPr>
          <w:trHeight w:val="432"/>
        </w:trPr>
        <w:tc>
          <w:tcPr>
            <w:tcW w:w="518" w:type="dxa"/>
          </w:tcPr>
          <w:p w14:paraId="69B4063B" w14:textId="743B238A" w:rsidR="00F2478E" w:rsidRPr="00D03BFC" w:rsidRDefault="00A36C29" w:rsidP="00B57FF8">
            <w:pPr>
              <w:pStyle w:val="PlainText"/>
              <w:jc w:val="center"/>
              <w:rPr>
                <w:rFonts w:asciiTheme="minorHAnsi" w:hAnsiTheme="minorHAnsi"/>
                <w:b/>
                <w:sz w:val="22"/>
                <w:szCs w:val="22"/>
              </w:rPr>
            </w:pPr>
            <w:r>
              <w:rPr>
                <w:rFonts w:asciiTheme="minorHAnsi" w:hAnsiTheme="minorHAnsi"/>
                <w:b/>
                <w:sz w:val="22"/>
                <w:szCs w:val="22"/>
              </w:rPr>
              <w:t>5</w:t>
            </w:r>
            <w:r w:rsidR="00F2478E">
              <w:rPr>
                <w:rFonts w:asciiTheme="minorHAnsi" w:hAnsiTheme="minorHAnsi"/>
                <w:b/>
                <w:sz w:val="22"/>
                <w:szCs w:val="22"/>
              </w:rPr>
              <w:t>.</w:t>
            </w:r>
          </w:p>
        </w:tc>
        <w:tc>
          <w:tcPr>
            <w:tcW w:w="1872" w:type="dxa"/>
          </w:tcPr>
          <w:p w14:paraId="16714B71" w14:textId="77777777" w:rsidR="00A36C29" w:rsidRDefault="00F2478E"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Risk Assessment</w:t>
            </w:r>
          </w:p>
          <w:p w14:paraId="13020C45" w14:textId="1367E3ED" w:rsidR="00F2478E" w:rsidRPr="00FE31B3" w:rsidRDefault="00F2478E" w:rsidP="00B57FF8">
            <w:pPr>
              <w:pStyle w:val="PlainText"/>
              <w:jc w:val="center"/>
              <w:rPr>
                <w:rFonts w:asciiTheme="minorHAnsi" w:hAnsiTheme="minorHAnsi" w:cs="Times New Roman"/>
                <w:b/>
                <w:i/>
                <w:sz w:val="12"/>
                <w:szCs w:val="12"/>
              </w:rPr>
            </w:pPr>
            <w:r>
              <w:rPr>
                <w:rFonts w:asciiTheme="minorHAnsi" w:hAnsiTheme="minorHAnsi" w:cs="Times New Roman"/>
                <w:b/>
                <w:i/>
                <w:sz w:val="22"/>
                <w:szCs w:val="22"/>
              </w:rPr>
              <w:t xml:space="preserve"> </w:t>
            </w:r>
          </w:p>
          <w:p w14:paraId="509D693D" w14:textId="77777777" w:rsidR="00F2478E" w:rsidRDefault="00F2478E"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(200.331)</w:t>
            </w:r>
          </w:p>
        </w:tc>
        <w:tc>
          <w:tcPr>
            <w:tcW w:w="12283" w:type="dxa"/>
          </w:tcPr>
          <w:p w14:paraId="310F4F3A" w14:textId="7174D796" w:rsidR="008E1E17" w:rsidRDefault="008E1E17" w:rsidP="008E1E17">
            <w:pPr>
              <w:pStyle w:val="PlainText"/>
              <w:jc w:val="both"/>
              <w:rPr>
                <w:rFonts w:asciiTheme="minorHAnsi" w:hAnsiTheme="minorHAnsi"/>
                <w:bCs/>
                <w:sz w:val="22"/>
                <w:szCs w:val="22"/>
              </w:rPr>
            </w:pPr>
            <w:r>
              <w:rPr>
                <w:rFonts w:asciiTheme="minorHAnsi" w:hAnsiTheme="minorHAnsi"/>
                <w:bCs/>
                <w:sz w:val="22"/>
                <w:szCs w:val="22"/>
              </w:rPr>
              <w:t>200.331(e) states that p</w:t>
            </w:r>
            <w:r w:rsidRPr="00713319">
              <w:rPr>
                <w:rFonts w:asciiTheme="minorHAnsi" w:hAnsiTheme="minorHAnsi"/>
                <w:bCs/>
                <w:sz w:val="22"/>
                <w:szCs w:val="22"/>
              </w:rPr>
              <w:t xml:space="preserve">ass-through </w:t>
            </w:r>
            <w:r>
              <w:rPr>
                <w:rFonts w:asciiTheme="minorHAnsi" w:hAnsiTheme="minorHAnsi"/>
                <w:bCs/>
                <w:sz w:val="22"/>
                <w:szCs w:val="22"/>
              </w:rPr>
              <w:t>entities are obligated to evaluate a subrecipient’s risk and use that assessment to determine appropriate subrecipient monitoring activities. The UG suggests but does not require that certain factors be included in the risk assessment</w:t>
            </w:r>
            <w:r w:rsidRPr="00713319">
              <w:rPr>
                <w:rFonts w:asciiTheme="minorHAnsi" w:hAnsiTheme="minorHAnsi"/>
                <w:bCs/>
                <w:sz w:val="22"/>
                <w:szCs w:val="22"/>
              </w:rPr>
              <w:t>.</w:t>
            </w:r>
          </w:p>
          <w:p w14:paraId="335F2230" w14:textId="77777777" w:rsidR="008E1E17" w:rsidRDefault="008E1E17" w:rsidP="008E1E17">
            <w:pPr>
              <w:pStyle w:val="PlainText"/>
              <w:jc w:val="both"/>
              <w:rPr>
                <w:rFonts w:asciiTheme="minorHAnsi" w:hAnsiTheme="minorHAnsi"/>
                <w:bCs/>
                <w:sz w:val="22"/>
                <w:szCs w:val="22"/>
              </w:rPr>
            </w:pPr>
            <w:r w:rsidRPr="00713319">
              <w:rPr>
                <w:rFonts w:asciiTheme="minorHAnsi" w:hAnsiTheme="minorHAnsi"/>
                <w:bCs/>
                <w:sz w:val="22"/>
                <w:szCs w:val="22"/>
              </w:rPr>
              <w:t xml:space="preserve"> </w:t>
            </w:r>
          </w:p>
          <w:p w14:paraId="63AF552A" w14:textId="44410015" w:rsidR="008E1E17" w:rsidRDefault="00BC539F" w:rsidP="008E1E17">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8E1E17" w:rsidRPr="006D640C">
              <w:rPr>
                <w:rFonts w:asciiTheme="minorHAnsi" w:hAnsiTheme="minorHAnsi"/>
                <w:b/>
                <w:i/>
                <w:sz w:val="22"/>
                <w:szCs w:val="22"/>
              </w:rPr>
              <w:t>:</w:t>
            </w:r>
          </w:p>
          <w:p w14:paraId="58632245" w14:textId="77777777" w:rsidR="008E1E17" w:rsidRPr="0035122B" w:rsidRDefault="008E1E17" w:rsidP="008E1E17">
            <w:pPr>
              <w:pStyle w:val="TableContents"/>
              <w:jc w:val="both"/>
              <w:rPr>
                <w:rFonts w:asciiTheme="minorHAnsi" w:hAnsiTheme="minorHAnsi"/>
                <w:b/>
                <w:i/>
                <w:sz w:val="12"/>
                <w:szCs w:val="12"/>
              </w:rPr>
            </w:pPr>
          </w:p>
          <w:p w14:paraId="05AC9BBF" w14:textId="77777777" w:rsidR="00290BF8" w:rsidRPr="00290BF8" w:rsidRDefault="00290BF8" w:rsidP="004C28F6">
            <w:pPr>
              <w:pStyle w:val="TableContents"/>
              <w:numPr>
                <w:ilvl w:val="0"/>
                <w:numId w:val="21"/>
              </w:numPr>
              <w:jc w:val="both"/>
              <w:rPr>
                <w:rFonts w:asciiTheme="minorHAnsi" w:hAnsiTheme="minorHAnsi"/>
                <w:sz w:val="22"/>
                <w:szCs w:val="22"/>
              </w:rPr>
            </w:pPr>
            <w:r w:rsidRPr="00290BF8">
              <w:rPr>
                <w:rFonts w:asciiTheme="minorHAnsi" w:hAnsiTheme="minorHAnsi"/>
                <w:bCs/>
                <w:sz w:val="22"/>
                <w:szCs w:val="22"/>
              </w:rPr>
              <w:t>Decide if your risk assessment process is adequate and if the outcomes are used to drive your subrecipient monitoring</w:t>
            </w:r>
            <w:r>
              <w:rPr>
                <w:rFonts w:asciiTheme="minorHAnsi" w:hAnsiTheme="minorHAnsi"/>
                <w:bCs/>
                <w:sz w:val="22"/>
                <w:szCs w:val="22"/>
              </w:rPr>
              <w:t>.</w:t>
            </w:r>
          </w:p>
          <w:p w14:paraId="59A005CC" w14:textId="78B6E63E" w:rsidR="00290BF8" w:rsidRPr="00290BF8" w:rsidRDefault="00290BF8" w:rsidP="004C28F6">
            <w:pPr>
              <w:pStyle w:val="TableContents"/>
              <w:numPr>
                <w:ilvl w:val="0"/>
                <w:numId w:val="21"/>
              </w:numPr>
              <w:jc w:val="both"/>
              <w:rPr>
                <w:rFonts w:asciiTheme="minorHAnsi" w:hAnsiTheme="minorHAnsi"/>
                <w:sz w:val="22"/>
                <w:szCs w:val="22"/>
              </w:rPr>
            </w:pPr>
            <w:r w:rsidRPr="00290BF8">
              <w:rPr>
                <w:rFonts w:asciiTheme="minorHAnsi" w:hAnsiTheme="minorHAnsi"/>
                <w:bCs/>
                <w:sz w:val="22"/>
                <w:szCs w:val="22"/>
              </w:rPr>
              <w:t>Determine</w:t>
            </w:r>
            <w:r>
              <w:rPr>
                <w:rFonts w:asciiTheme="minorHAnsi" w:hAnsiTheme="minorHAnsi"/>
                <w:bCs/>
                <w:sz w:val="22"/>
                <w:szCs w:val="22"/>
              </w:rPr>
              <w:t xml:space="preserve"> if you will adopt the recommended risk assessment factors.</w:t>
            </w:r>
          </w:p>
          <w:p w14:paraId="10BA9314" w14:textId="77777777" w:rsidR="00A36C29" w:rsidRPr="00290BF8" w:rsidRDefault="00A36C29" w:rsidP="00290BF8">
            <w:pPr>
              <w:pStyle w:val="TableContents"/>
              <w:jc w:val="both"/>
              <w:rPr>
                <w:rFonts w:asciiTheme="minorHAnsi" w:hAnsiTheme="minorHAnsi"/>
                <w:bCs/>
                <w:sz w:val="22"/>
                <w:szCs w:val="22"/>
              </w:rPr>
            </w:pPr>
          </w:p>
        </w:tc>
      </w:tr>
      <w:tr w:rsidR="00F2478E" w:rsidRPr="004A46A7" w14:paraId="29C1C9BE" w14:textId="77777777" w:rsidTr="000D538B">
        <w:trPr>
          <w:trHeight w:val="432"/>
        </w:trPr>
        <w:tc>
          <w:tcPr>
            <w:tcW w:w="518" w:type="dxa"/>
          </w:tcPr>
          <w:p w14:paraId="423D6052" w14:textId="49DF9580" w:rsidR="00F2478E" w:rsidRPr="00D03BFC" w:rsidRDefault="00A36C29" w:rsidP="00A36C29">
            <w:pPr>
              <w:pStyle w:val="PlainText"/>
              <w:jc w:val="center"/>
              <w:rPr>
                <w:rFonts w:asciiTheme="minorHAnsi" w:hAnsiTheme="minorHAnsi"/>
                <w:b/>
                <w:sz w:val="22"/>
                <w:szCs w:val="22"/>
              </w:rPr>
            </w:pPr>
            <w:r>
              <w:rPr>
                <w:rFonts w:asciiTheme="minorHAnsi" w:hAnsiTheme="minorHAnsi"/>
                <w:b/>
                <w:sz w:val="22"/>
                <w:szCs w:val="22"/>
              </w:rPr>
              <w:t>6</w:t>
            </w:r>
            <w:r w:rsidR="00F2478E">
              <w:rPr>
                <w:rFonts w:asciiTheme="minorHAnsi" w:hAnsiTheme="minorHAnsi"/>
                <w:b/>
                <w:sz w:val="22"/>
                <w:szCs w:val="22"/>
              </w:rPr>
              <w:t xml:space="preserve">. </w:t>
            </w:r>
          </w:p>
        </w:tc>
        <w:tc>
          <w:tcPr>
            <w:tcW w:w="1872" w:type="dxa"/>
          </w:tcPr>
          <w:p w14:paraId="32CA5DE9" w14:textId="77777777" w:rsidR="00A36C29" w:rsidRDefault="00F2478E" w:rsidP="00B57FF8">
            <w:pPr>
              <w:pStyle w:val="PlainText"/>
              <w:jc w:val="center"/>
              <w:rPr>
                <w:rFonts w:asciiTheme="minorHAnsi" w:hAnsiTheme="minorHAnsi" w:cs="Times New Roman"/>
                <w:b/>
                <w:i/>
                <w:sz w:val="22"/>
                <w:szCs w:val="22"/>
              </w:rPr>
            </w:pPr>
            <w:r w:rsidRPr="00FF0867">
              <w:rPr>
                <w:rFonts w:asciiTheme="minorHAnsi" w:hAnsiTheme="minorHAnsi" w:cs="Times New Roman"/>
                <w:b/>
                <w:i/>
                <w:sz w:val="22"/>
                <w:szCs w:val="22"/>
              </w:rPr>
              <w:t xml:space="preserve">Subrecipient Monitoring </w:t>
            </w:r>
          </w:p>
          <w:p w14:paraId="3CE7022D" w14:textId="77777777" w:rsidR="00A36C29" w:rsidRPr="0035122B" w:rsidRDefault="00A36C29" w:rsidP="00B57FF8">
            <w:pPr>
              <w:pStyle w:val="PlainText"/>
              <w:jc w:val="center"/>
              <w:rPr>
                <w:rFonts w:asciiTheme="minorHAnsi" w:hAnsiTheme="minorHAnsi" w:cs="Times New Roman"/>
                <w:b/>
                <w:i/>
                <w:sz w:val="12"/>
                <w:szCs w:val="12"/>
              </w:rPr>
            </w:pPr>
          </w:p>
          <w:p w14:paraId="57F0DA90" w14:textId="18818C10" w:rsidR="00F2478E" w:rsidRPr="00FF0867" w:rsidRDefault="00F2478E" w:rsidP="00B57FF8">
            <w:pPr>
              <w:pStyle w:val="PlainText"/>
              <w:jc w:val="center"/>
              <w:rPr>
                <w:rFonts w:asciiTheme="minorHAnsi" w:hAnsiTheme="minorHAnsi" w:cs="Times New Roman"/>
                <w:b/>
                <w:i/>
                <w:sz w:val="22"/>
                <w:szCs w:val="22"/>
              </w:rPr>
            </w:pPr>
            <w:r w:rsidRPr="00FF0867">
              <w:rPr>
                <w:rFonts w:asciiTheme="minorHAnsi" w:hAnsiTheme="minorHAnsi" w:cs="Times New Roman"/>
                <w:b/>
                <w:i/>
                <w:sz w:val="22"/>
                <w:szCs w:val="22"/>
              </w:rPr>
              <w:t>(200.331)</w:t>
            </w:r>
          </w:p>
        </w:tc>
        <w:tc>
          <w:tcPr>
            <w:tcW w:w="12283" w:type="dxa"/>
          </w:tcPr>
          <w:p w14:paraId="42D495E1" w14:textId="737E4468" w:rsidR="00290BF8" w:rsidRDefault="00290BF8" w:rsidP="00290BF8">
            <w:pPr>
              <w:pStyle w:val="PlainText"/>
              <w:jc w:val="both"/>
              <w:rPr>
                <w:rFonts w:asciiTheme="minorHAnsi" w:hAnsiTheme="minorHAnsi"/>
                <w:bCs/>
                <w:sz w:val="22"/>
                <w:szCs w:val="22"/>
              </w:rPr>
            </w:pPr>
            <w:r>
              <w:rPr>
                <w:rFonts w:asciiTheme="minorHAnsi" w:hAnsiTheme="minorHAnsi"/>
                <w:bCs/>
                <w:sz w:val="22"/>
                <w:szCs w:val="22"/>
              </w:rPr>
              <w:t>200.331(d</w:t>
            </w:r>
            <w:r w:rsidRPr="00FF0867">
              <w:rPr>
                <w:rFonts w:asciiTheme="minorHAnsi" w:hAnsiTheme="minorHAnsi"/>
                <w:bCs/>
                <w:sz w:val="22"/>
                <w:szCs w:val="22"/>
              </w:rPr>
              <w:t>) specifies both mandatory and as-needed subrecipient monitoring obligations. Audit reports are now expected to be obtained through the Federal Audit Clearinghouse (rather than from each subrecipient, though audit reports are not expected to be available until later in 2015.)</w:t>
            </w:r>
            <w:r w:rsidRPr="00713319">
              <w:rPr>
                <w:rFonts w:asciiTheme="minorHAnsi" w:hAnsiTheme="minorHAnsi"/>
                <w:bCs/>
                <w:sz w:val="22"/>
                <w:szCs w:val="22"/>
              </w:rPr>
              <w:t>.</w:t>
            </w:r>
          </w:p>
          <w:p w14:paraId="70869FD8" w14:textId="08B4DD69" w:rsidR="00290BF8" w:rsidRDefault="00290BF8" w:rsidP="00290BF8">
            <w:pPr>
              <w:pStyle w:val="PlainText"/>
              <w:jc w:val="both"/>
              <w:rPr>
                <w:rFonts w:asciiTheme="minorHAnsi" w:hAnsiTheme="minorHAnsi"/>
                <w:bCs/>
                <w:sz w:val="22"/>
                <w:szCs w:val="22"/>
              </w:rPr>
            </w:pPr>
          </w:p>
          <w:p w14:paraId="77AF09C4" w14:textId="14D830A3" w:rsidR="00290BF8" w:rsidRDefault="00BC539F" w:rsidP="00290BF8">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290BF8" w:rsidRPr="006D640C">
              <w:rPr>
                <w:rFonts w:asciiTheme="minorHAnsi" w:hAnsiTheme="minorHAnsi"/>
                <w:b/>
                <w:i/>
                <w:sz w:val="22"/>
                <w:szCs w:val="22"/>
              </w:rPr>
              <w:t>:</w:t>
            </w:r>
          </w:p>
          <w:p w14:paraId="11169E6A" w14:textId="77777777" w:rsidR="00290BF8" w:rsidRPr="00BC539F" w:rsidRDefault="00290BF8" w:rsidP="00290BF8">
            <w:pPr>
              <w:pStyle w:val="TableContents"/>
              <w:jc w:val="both"/>
              <w:rPr>
                <w:rFonts w:asciiTheme="minorHAnsi" w:hAnsiTheme="minorHAnsi"/>
                <w:b/>
                <w:i/>
                <w:sz w:val="12"/>
                <w:szCs w:val="12"/>
              </w:rPr>
            </w:pPr>
          </w:p>
          <w:p w14:paraId="2BC805E0" w14:textId="186A70E3" w:rsidR="00290BF8" w:rsidRPr="00290BF8" w:rsidRDefault="00290BF8" w:rsidP="004C28F6">
            <w:pPr>
              <w:pStyle w:val="TableContents"/>
              <w:numPr>
                <w:ilvl w:val="0"/>
                <w:numId w:val="22"/>
              </w:numPr>
              <w:jc w:val="both"/>
              <w:rPr>
                <w:rFonts w:asciiTheme="minorHAnsi" w:hAnsiTheme="minorHAnsi"/>
                <w:sz w:val="22"/>
                <w:szCs w:val="22"/>
              </w:rPr>
            </w:pPr>
            <w:r w:rsidRPr="00FF0867">
              <w:rPr>
                <w:rFonts w:asciiTheme="minorHAnsi" w:hAnsiTheme="minorHAnsi"/>
                <w:bCs/>
                <w:sz w:val="22"/>
                <w:szCs w:val="22"/>
              </w:rPr>
              <w:t xml:space="preserve">Determine whether your subrecipient monitoring process includes all of the specified mandatory monitoring obligations and whether you wish to include the optional monitoring </w:t>
            </w:r>
            <w:r>
              <w:rPr>
                <w:rFonts w:asciiTheme="minorHAnsi" w:hAnsiTheme="minorHAnsi"/>
                <w:bCs/>
                <w:sz w:val="22"/>
                <w:szCs w:val="22"/>
              </w:rPr>
              <w:t>recommendations.</w:t>
            </w:r>
          </w:p>
          <w:p w14:paraId="5FF340D2" w14:textId="46796C23" w:rsidR="00290BF8" w:rsidRPr="00290BF8" w:rsidRDefault="00290BF8" w:rsidP="004C28F6">
            <w:pPr>
              <w:pStyle w:val="TableContents"/>
              <w:numPr>
                <w:ilvl w:val="0"/>
                <w:numId w:val="22"/>
              </w:numPr>
              <w:jc w:val="both"/>
              <w:rPr>
                <w:rFonts w:asciiTheme="minorHAnsi" w:hAnsiTheme="minorHAnsi"/>
                <w:sz w:val="22"/>
                <w:szCs w:val="22"/>
              </w:rPr>
            </w:pPr>
            <w:r>
              <w:rPr>
                <w:rFonts w:asciiTheme="minorHAnsi" w:hAnsiTheme="minorHAnsi"/>
                <w:bCs/>
                <w:sz w:val="22"/>
                <w:szCs w:val="22"/>
              </w:rPr>
              <w:t>Consider the impact</w:t>
            </w:r>
            <w:r w:rsidRPr="00FF0867">
              <w:rPr>
                <w:rFonts w:asciiTheme="minorHAnsi" w:hAnsiTheme="minorHAnsi"/>
                <w:bCs/>
                <w:sz w:val="22"/>
                <w:szCs w:val="22"/>
              </w:rPr>
              <w:t xml:space="preserve"> of subrecipients previously subject to A-133 audits but now exempt because of the increase in </w:t>
            </w:r>
            <w:r>
              <w:rPr>
                <w:rFonts w:asciiTheme="minorHAnsi" w:hAnsiTheme="minorHAnsi"/>
                <w:bCs/>
                <w:sz w:val="22"/>
                <w:szCs w:val="22"/>
              </w:rPr>
              <w:t xml:space="preserve">the </w:t>
            </w:r>
            <w:r w:rsidRPr="00FF0867">
              <w:rPr>
                <w:rFonts w:asciiTheme="minorHAnsi" w:hAnsiTheme="minorHAnsi"/>
                <w:bCs/>
                <w:sz w:val="22"/>
                <w:szCs w:val="22"/>
              </w:rPr>
              <w:t>audit threshold from $500K to $750K</w:t>
            </w:r>
            <w:r>
              <w:rPr>
                <w:rFonts w:asciiTheme="minorHAnsi" w:hAnsiTheme="minorHAnsi"/>
                <w:bCs/>
                <w:sz w:val="22"/>
                <w:szCs w:val="22"/>
              </w:rPr>
              <w:t xml:space="preserve"> on your risk assessment and monitoring.</w:t>
            </w:r>
          </w:p>
          <w:p w14:paraId="5FDE34A4" w14:textId="2EC4A3B1" w:rsidR="00290BF8" w:rsidRPr="00290BF8" w:rsidRDefault="00290BF8" w:rsidP="004C28F6">
            <w:pPr>
              <w:pStyle w:val="TableContents"/>
              <w:numPr>
                <w:ilvl w:val="0"/>
                <w:numId w:val="22"/>
              </w:numPr>
              <w:jc w:val="both"/>
              <w:rPr>
                <w:rFonts w:asciiTheme="minorHAnsi" w:hAnsiTheme="minorHAnsi"/>
                <w:sz w:val="22"/>
                <w:szCs w:val="22"/>
              </w:rPr>
            </w:pPr>
            <w:r w:rsidRPr="00FF0867">
              <w:rPr>
                <w:rFonts w:asciiTheme="minorHAnsi" w:hAnsiTheme="minorHAnsi"/>
                <w:bCs/>
                <w:sz w:val="22"/>
                <w:szCs w:val="22"/>
              </w:rPr>
              <w:t>Ensure that audit reports are sought through the Federal Audit Clearinghouse (FAC) rather by contacting individual subrecipients (once these become available in the FAC</w:t>
            </w:r>
            <w:r>
              <w:rPr>
                <w:rFonts w:asciiTheme="minorHAnsi" w:hAnsiTheme="minorHAnsi"/>
                <w:bCs/>
                <w:sz w:val="22"/>
                <w:szCs w:val="22"/>
              </w:rPr>
              <w:t>).</w:t>
            </w:r>
          </w:p>
          <w:p w14:paraId="48C89185" w14:textId="68D6BF2D" w:rsidR="00290BF8" w:rsidRPr="00290BF8" w:rsidRDefault="00290BF8" w:rsidP="004C28F6">
            <w:pPr>
              <w:pStyle w:val="TableContents"/>
              <w:numPr>
                <w:ilvl w:val="0"/>
                <w:numId w:val="22"/>
              </w:numPr>
              <w:jc w:val="both"/>
              <w:rPr>
                <w:rFonts w:asciiTheme="minorHAnsi" w:hAnsiTheme="minorHAnsi"/>
                <w:sz w:val="22"/>
                <w:szCs w:val="22"/>
              </w:rPr>
            </w:pPr>
            <w:r w:rsidRPr="00FF0867">
              <w:rPr>
                <w:rFonts w:asciiTheme="minorHAnsi" w:hAnsiTheme="minorHAnsi"/>
                <w:bCs/>
                <w:sz w:val="22"/>
                <w:szCs w:val="22"/>
              </w:rPr>
              <w:t>Review monitoring process to ensure that your management decisions are documented within 6 months of the date of the subrecipient’s audit report being posted in the FAC</w:t>
            </w:r>
            <w:r>
              <w:rPr>
                <w:rFonts w:asciiTheme="minorHAnsi" w:hAnsiTheme="minorHAnsi"/>
                <w:bCs/>
                <w:sz w:val="22"/>
                <w:szCs w:val="22"/>
              </w:rPr>
              <w:t>.</w:t>
            </w:r>
          </w:p>
          <w:p w14:paraId="7441E4EB" w14:textId="77777777" w:rsidR="00A36C29" w:rsidRPr="00FF0867" w:rsidRDefault="00A36C29" w:rsidP="00290BF8">
            <w:pPr>
              <w:pStyle w:val="PlainText"/>
              <w:jc w:val="both"/>
              <w:rPr>
                <w:rFonts w:asciiTheme="minorHAnsi" w:hAnsiTheme="minorHAnsi"/>
                <w:bCs/>
                <w:sz w:val="22"/>
                <w:szCs w:val="22"/>
              </w:rPr>
            </w:pPr>
          </w:p>
        </w:tc>
      </w:tr>
      <w:tr w:rsidR="00F2478E" w:rsidRPr="004A46A7" w14:paraId="09E2CE51" w14:textId="77777777" w:rsidTr="000D538B">
        <w:trPr>
          <w:trHeight w:val="432"/>
        </w:trPr>
        <w:tc>
          <w:tcPr>
            <w:tcW w:w="518" w:type="dxa"/>
          </w:tcPr>
          <w:p w14:paraId="0A653506" w14:textId="51837B73" w:rsidR="00F2478E" w:rsidRPr="00D03BFC" w:rsidRDefault="00A36C29" w:rsidP="00A36C29">
            <w:pPr>
              <w:pStyle w:val="PlainText"/>
              <w:jc w:val="center"/>
              <w:rPr>
                <w:rFonts w:asciiTheme="minorHAnsi" w:hAnsiTheme="minorHAnsi" w:cs="Times New Roman"/>
                <w:b/>
                <w:sz w:val="22"/>
                <w:szCs w:val="22"/>
              </w:rPr>
            </w:pPr>
            <w:r>
              <w:rPr>
                <w:rFonts w:asciiTheme="minorHAnsi" w:hAnsiTheme="minorHAnsi"/>
                <w:b/>
                <w:sz w:val="22"/>
                <w:szCs w:val="22"/>
              </w:rPr>
              <w:lastRenderedPageBreak/>
              <w:t>7</w:t>
            </w:r>
            <w:r w:rsidR="00F2478E" w:rsidRPr="00D03BFC">
              <w:rPr>
                <w:rFonts w:asciiTheme="minorHAnsi" w:hAnsiTheme="minorHAnsi"/>
                <w:b/>
                <w:sz w:val="22"/>
                <w:szCs w:val="22"/>
              </w:rPr>
              <w:t>.</w:t>
            </w:r>
          </w:p>
        </w:tc>
        <w:tc>
          <w:tcPr>
            <w:tcW w:w="1872" w:type="dxa"/>
          </w:tcPr>
          <w:p w14:paraId="0055ECA2" w14:textId="77777777" w:rsidR="00F2478E" w:rsidRPr="00754E67" w:rsidRDefault="00F2478E" w:rsidP="00B57FF8">
            <w:pPr>
              <w:pStyle w:val="PlainText"/>
              <w:jc w:val="center"/>
              <w:rPr>
                <w:rFonts w:asciiTheme="minorHAnsi" w:hAnsiTheme="minorHAnsi" w:cs="Times New Roman"/>
                <w:b/>
                <w:i/>
                <w:sz w:val="22"/>
                <w:szCs w:val="22"/>
              </w:rPr>
            </w:pPr>
            <w:r w:rsidRPr="00754E67">
              <w:rPr>
                <w:rFonts w:asciiTheme="minorHAnsi" w:hAnsiTheme="minorHAnsi" w:cs="Times New Roman"/>
                <w:b/>
                <w:i/>
                <w:sz w:val="22"/>
                <w:szCs w:val="22"/>
              </w:rPr>
              <w:t>Issuing fixed amount  subawards</w:t>
            </w:r>
          </w:p>
          <w:p w14:paraId="7B63C28A" w14:textId="77777777" w:rsidR="00F2478E" w:rsidRPr="00754E67" w:rsidRDefault="00F2478E" w:rsidP="00B57FF8">
            <w:pPr>
              <w:pStyle w:val="PlainText"/>
              <w:jc w:val="center"/>
              <w:rPr>
                <w:rFonts w:asciiTheme="minorHAnsi" w:hAnsiTheme="minorHAnsi"/>
                <w:b/>
                <w:i/>
                <w:sz w:val="12"/>
                <w:szCs w:val="12"/>
              </w:rPr>
            </w:pPr>
          </w:p>
          <w:p w14:paraId="3D2B111C" w14:textId="77777777" w:rsidR="00F2478E" w:rsidRPr="00754E67" w:rsidRDefault="00F2478E" w:rsidP="00B57FF8">
            <w:pPr>
              <w:pStyle w:val="PlainText"/>
              <w:jc w:val="center"/>
              <w:rPr>
                <w:rFonts w:asciiTheme="minorHAnsi" w:hAnsiTheme="minorHAnsi" w:cs="Times New Roman"/>
                <w:b/>
                <w:i/>
                <w:sz w:val="22"/>
                <w:szCs w:val="22"/>
              </w:rPr>
            </w:pPr>
            <w:r w:rsidRPr="00754E67">
              <w:rPr>
                <w:rFonts w:asciiTheme="minorHAnsi" w:hAnsiTheme="minorHAnsi" w:cs="Times New Roman"/>
                <w:b/>
                <w:i/>
                <w:sz w:val="22"/>
                <w:szCs w:val="22"/>
              </w:rPr>
              <w:t>(200.45, 200.201, 200.332)</w:t>
            </w:r>
          </w:p>
        </w:tc>
        <w:tc>
          <w:tcPr>
            <w:tcW w:w="12283" w:type="dxa"/>
          </w:tcPr>
          <w:p w14:paraId="4CBA8BF4" w14:textId="1D9ECC1B" w:rsidR="008E36CE" w:rsidRDefault="00290BF8" w:rsidP="00B57FF8">
            <w:pPr>
              <w:pStyle w:val="PlainText"/>
              <w:jc w:val="both"/>
              <w:rPr>
                <w:rFonts w:asciiTheme="minorHAnsi" w:hAnsiTheme="minorHAnsi"/>
                <w:bCs/>
                <w:sz w:val="22"/>
                <w:szCs w:val="22"/>
              </w:rPr>
            </w:pPr>
            <w:r>
              <w:rPr>
                <w:rFonts w:asciiTheme="minorHAnsi" w:hAnsiTheme="minorHAnsi"/>
                <w:bCs/>
                <w:sz w:val="22"/>
                <w:szCs w:val="22"/>
              </w:rPr>
              <w:t xml:space="preserve">200.332 </w:t>
            </w:r>
            <w:r w:rsidR="00F2478E" w:rsidRPr="00754E67">
              <w:rPr>
                <w:rFonts w:asciiTheme="minorHAnsi" w:hAnsiTheme="minorHAnsi"/>
                <w:bCs/>
                <w:sz w:val="22"/>
                <w:szCs w:val="22"/>
              </w:rPr>
              <w:t>require</w:t>
            </w:r>
            <w:r w:rsidR="003611B9">
              <w:rPr>
                <w:rFonts w:asciiTheme="minorHAnsi" w:hAnsiTheme="minorHAnsi"/>
                <w:bCs/>
                <w:sz w:val="22"/>
                <w:szCs w:val="22"/>
              </w:rPr>
              <w:t>s a pass-through entity</w:t>
            </w:r>
            <w:r w:rsidR="00F2478E" w:rsidRPr="00754E67">
              <w:rPr>
                <w:rFonts w:asciiTheme="minorHAnsi" w:hAnsiTheme="minorHAnsi"/>
                <w:bCs/>
                <w:sz w:val="22"/>
                <w:szCs w:val="22"/>
              </w:rPr>
              <w:t xml:space="preserve"> to obtain </w:t>
            </w:r>
            <w:r w:rsidR="003611B9">
              <w:rPr>
                <w:rFonts w:asciiTheme="minorHAnsi" w:hAnsiTheme="minorHAnsi"/>
                <w:bCs/>
                <w:sz w:val="22"/>
                <w:szCs w:val="22"/>
              </w:rPr>
              <w:t xml:space="preserve">Federal </w:t>
            </w:r>
            <w:r w:rsidR="00F2478E" w:rsidRPr="00754E67">
              <w:rPr>
                <w:rFonts w:asciiTheme="minorHAnsi" w:hAnsiTheme="minorHAnsi"/>
                <w:bCs/>
                <w:sz w:val="22"/>
                <w:szCs w:val="22"/>
              </w:rPr>
              <w:t>agency prior approval to enter into fixed price subawards; fixed price subs may not be used if cost-sharing is involved</w:t>
            </w:r>
            <w:r w:rsidR="00AB3EEC">
              <w:rPr>
                <w:rFonts w:asciiTheme="minorHAnsi" w:hAnsiTheme="minorHAnsi"/>
                <w:bCs/>
                <w:sz w:val="22"/>
                <w:szCs w:val="22"/>
              </w:rPr>
              <w:t xml:space="preserve"> </w:t>
            </w:r>
            <w:r w:rsidR="003611B9">
              <w:rPr>
                <w:rFonts w:asciiTheme="minorHAnsi" w:hAnsiTheme="minorHAnsi"/>
                <w:bCs/>
                <w:sz w:val="22"/>
                <w:szCs w:val="22"/>
              </w:rPr>
              <w:t>;</w:t>
            </w:r>
            <w:r w:rsidR="00AB3EEC" w:rsidRPr="00754E67">
              <w:rPr>
                <w:rFonts w:asciiTheme="minorHAnsi" w:hAnsiTheme="minorHAnsi"/>
                <w:bCs/>
                <w:sz w:val="22"/>
                <w:szCs w:val="22"/>
              </w:rPr>
              <w:t xml:space="preserve"> </w:t>
            </w:r>
            <w:r w:rsidR="00F2478E" w:rsidRPr="00754E67">
              <w:rPr>
                <w:rFonts w:asciiTheme="minorHAnsi" w:hAnsiTheme="minorHAnsi"/>
                <w:bCs/>
                <w:sz w:val="22"/>
                <w:szCs w:val="22"/>
              </w:rPr>
              <w:t xml:space="preserve"> the total dollar amount of each fixed price subaward may not exceed $150K</w:t>
            </w:r>
            <w:r w:rsidR="003611B9">
              <w:rPr>
                <w:rFonts w:asciiTheme="minorHAnsi" w:hAnsiTheme="minorHAnsi"/>
                <w:bCs/>
                <w:sz w:val="22"/>
                <w:szCs w:val="22"/>
              </w:rPr>
              <w:t>(the simplified acquisition threshold)</w:t>
            </w:r>
            <w:r w:rsidR="00AB3EEC">
              <w:rPr>
                <w:rFonts w:asciiTheme="minorHAnsi" w:hAnsiTheme="minorHAnsi"/>
                <w:bCs/>
                <w:sz w:val="22"/>
                <w:szCs w:val="22"/>
              </w:rPr>
              <w:t>;</w:t>
            </w:r>
            <w:r w:rsidR="00AB3EEC" w:rsidRPr="00754E67">
              <w:rPr>
                <w:rFonts w:asciiTheme="minorHAnsi" w:hAnsiTheme="minorHAnsi"/>
                <w:bCs/>
                <w:sz w:val="22"/>
                <w:szCs w:val="22"/>
              </w:rPr>
              <w:t xml:space="preserve"> </w:t>
            </w:r>
            <w:r w:rsidR="00F2478E" w:rsidRPr="00754E67">
              <w:rPr>
                <w:rFonts w:asciiTheme="minorHAnsi" w:hAnsiTheme="minorHAnsi"/>
                <w:bCs/>
                <w:sz w:val="22"/>
                <w:szCs w:val="22"/>
              </w:rPr>
              <w:t xml:space="preserve">and requires a new certification </w:t>
            </w:r>
            <w:r w:rsidR="002D6113">
              <w:rPr>
                <w:rFonts w:asciiTheme="minorHAnsi" w:hAnsiTheme="minorHAnsi"/>
                <w:bCs/>
                <w:sz w:val="22"/>
                <w:szCs w:val="22"/>
              </w:rPr>
              <w:t xml:space="preserve">by the sub-awardee </w:t>
            </w:r>
            <w:r w:rsidR="002D6113" w:rsidRPr="00754E67">
              <w:rPr>
                <w:rFonts w:asciiTheme="minorHAnsi" w:hAnsiTheme="minorHAnsi"/>
                <w:bCs/>
                <w:sz w:val="22"/>
                <w:szCs w:val="22"/>
              </w:rPr>
              <w:t xml:space="preserve">at the end of the project </w:t>
            </w:r>
            <w:r w:rsidR="00F2478E" w:rsidRPr="00754E67">
              <w:rPr>
                <w:rFonts w:asciiTheme="minorHAnsi" w:hAnsiTheme="minorHAnsi"/>
                <w:bCs/>
                <w:sz w:val="22"/>
                <w:szCs w:val="22"/>
              </w:rPr>
              <w:t xml:space="preserve">that the activity or level of effort was completed or else the cost must be adjusted.  </w:t>
            </w:r>
          </w:p>
          <w:p w14:paraId="7CB15331" w14:textId="77777777" w:rsidR="008E36CE" w:rsidRPr="00FE31B3" w:rsidRDefault="008E36CE" w:rsidP="00B57FF8">
            <w:pPr>
              <w:pStyle w:val="PlainText"/>
              <w:jc w:val="both"/>
              <w:rPr>
                <w:rFonts w:asciiTheme="minorHAnsi" w:hAnsiTheme="minorHAnsi"/>
                <w:bCs/>
                <w:sz w:val="12"/>
                <w:szCs w:val="12"/>
              </w:rPr>
            </w:pPr>
          </w:p>
          <w:p w14:paraId="383C3378" w14:textId="013C0FE6" w:rsidR="00F2478E" w:rsidRDefault="00290BF8" w:rsidP="00B57FF8">
            <w:pPr>
              <w:pStyle w:val="PlainText"/>
              <w:jc w:val="both"/>
              <w:rPr>
                <w:rFonts w:asciiTheme="minorHAnsi" w:hAnsiTheme="minorHAnsi"/>
                <w:bCs/>
                <w:sz w:val="22"/>
                <w:szCs w:val="22"/>
              </w:rPr>
            </w:pPr>
            <w:r>
              <w:rPr>
                <w:rFonts w:asciiTheme="minorHAnsi" w:hAnsiTheme="minorHAnsi"/>
                <w:bCs/>
                <w:sz w:val="22"/>
                <w:szCs w:val="22"/>
              </w:rPr>
              <w:t xml:space="preserve">COFAR </w:t>
            </w:r>
            <w:r w:rsidR="008E36CE">
              <w:rPr>
                <w:rFonts w:asciiTheme="minorHAnsi" w:hAnsiTheme="minorHAnsi"/>
                <w:bCs/>
                <w:sz w:val="22"/>
                <w:szCs w:val="22"/>
              </w:rPr>
              <w:t>FAQ .332-1 states it is acceptable to have m</w:t>
            </w:r>
            <w:r w:rsidR="00F2478E" w:rsidRPr="00754E67">
              <w:rPr>
                <w:rFonts w:asciiTheme="minorHAnsi" w:hAnsiTheme="minorHAnsi"/>
                <w:bCs/>
                <w:sz w:val="22"/>
                <w:szCs w:val="22"/>
              </w:rPr>
              <w:t xml:space="preserve">ore than one fixed price subaward to the same subrecipient if </w:t>
            </w:r>
            <w:r w:rsidR="00AB3EEC">
              <w:rPr>
                <w:rFonts w:asciiTheme="minorHAnsi" w:hAnsiTheme="minorHAnsi"/>
                <w:bCs/>
                <w:sz w:val="22"/>
                <w:szCs w:val="22"/>
              </w:rPr>
              <w:t>its</w:t>
            </w:r>
            <w:r w:rsidR="00AB3EEC" w:rsidRPr="00754E67">
              <w:rPr>
                <w:rFonts w:asciiTheme="minorHAnsi" w:hAnsiTheme="minorHAnsi"/>
                <w:bCs/>
                <w:sz w:val="22"/>
                <w:szCs w:val="22"/>
              </w:rPr>
              <w:t xml:space="preserve"> </w:t>
            </w:r>
            <w:r w:rsidR="00F2478E" w:rsidRPr="00754E67">
              <w:rPr>
                <w:rFonts w:asciiTheme="minorHAnsi" w:hAnsiTheme="minorHAnsi"/>
                <w:bCs/>
                <w:sz w:val="22"/>
                <w:szCs w:val="22"/>
              </w:rPr>
              <w:t xml:space="preserve">total cost </w:t>
            </w:r>
            <w:r w:rsidR="00AB3EEC">
              <w:rPr>
                <w:rFonts w:asciiTheme="minorHAnsi" w:hAnsiTheme="minorHAnsi"/>
                <w:bCs/>
                <w:sz w:val="22"/>
                <w:szCs w:val="22"/>
              </w:rPr>
              <w:t>under</w:t>
            </w:r>
            <w:r w:rsidR="00AB3EEC" w:rsidRPr="00754E67">
              <w:rPr>
                <w:rFonts w:asciiTheme="minorHAnsi" w:hAnsiTheme="minorHAnsi"/>
                <w:bCs/>
                <w:sz w:val="22"/>
                <w:szCs w:val="22"/>
              </w:rPr>
              <w:t xml:space="preserve"> </w:t>
            </w:r>
            <w:r w:rsidR="00F2478E" w:rsidRPr="00754E67">
              <w:rPr>
                <w:rFonts w:asciiTheme="minorHAnsi" w:hAnsiTheme="minorHAnsi"/>
                <w:bCs/>
                <w:sz w:val="22"/>
                <w:szCs w:val="22"/>
              </w:rPr>
              <w:t xml:space="preserve">the project exceeds $150K, or the agency can be consulted for guidance.  </w:t>
            </w:r>
          </w:p>
          <w:p w14:paraId="1245A847" w14:textId="77777777" w:rsidR="00DE1190" w:rsidRDefault="00DE1190" w:rsidP="00DE1190">
            <w:pPr>
              <w:pStyle w:val="PlainText"/>
              <w:jc w:val="both"/>
              <w:rPr>
                <w:rFonts w:asciiTheme="minorHAnsi" w:hAnsiTheme="minorHAnsi"/>
                <w:bCs/>
                <w:sz w:val="22"/>
                <w:szCs w:val="22"/>
              </w:rPr>
            </w:pPr>
          </w:p>
          <w:p w14:paraId="15555AED" w14:textId="51C4DF3C" w:rsidR="00DE1190" w:rsidRDefault="00BC539F" w:rsidP="00DE1190">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DE1190" w:rsidRPr="006D640C">
              <w:rPr>
                <w:rFonts w:asciiTheme="minorHAnsi" w:hAnsiTheme="minorHAnsi"/>
                <w:b/>
                <w:i/>
                <w:sz w:val="22"/>
                <w:szCs w:val="22"/>
              </w:rPr>
              <w:t>:</w:t>
            </w:r>
          </w:p>
          <w:p w14:paraId="068DF33E" w14:textId="77777777" w:rsidR="00DE1190" w:rsidRPr="0035122B" w:rsidRDefault="00DE1190" w:rsidP="00DE1190">
            <w:pPr>
              <w:pStyle w:val="TableContents"/>
              <w:jc w:val="both"/>
              <w:rPr>
                <w:rFonts w:asciiTheme="minorHAnsi" w:hAnsiTheme="minorHAnsi"/>
                <w:b/>
                <w:i/>
                <w:sz w:val="12"/>
                <w:szCs w:val="12"/>
              </w:rPr>
            </w:pPr>
          </w:p>
          <w:p w14:paraId="788F4354" w14:textId="7F60258D" w:rsidR="00F2478E" w:rsidRPr="00754E67" w:rsidRDefault="00F2478E" w:rsidP="004C28F6">
            <w:pPr>
              <w:pStyle w:val="PlainText"/>
              <w:numPr>
                <w:ilvl w:val="0"/>
                <w:numId w:val="3"/>
              </w:numPr>
              <w:jc w:val="both"/>
              <w:rPr>
                <w:rFonts w:asciiTheme="minorHAnsi" w:hAnsiTheme="minorHAnsi"/>
                <w:bCs/>
                <w:sz w:val="22"/>
                <w:szCs w:val="22"/>
              </w:rPr>
            </w:pPr>
            <w:r w:rsidRPr="00754E67">
              <w:rPr>
                <w:rFonts w:asciiTheme="minorHAnsi" w:hAnsiTheme="minorHAnsi"/>
                <w:bCs/>
                <w:sz w:val="22"/>
                <w:szCs w:val="22"/>
              </w:rPr>
              <w:t xml:space="preserve">Determine the volume and size of your fixed price subaward portfolio to ascertain </w:t>
            </w:r>
            <w:r w:rsidR="00AB3EEC">
              <w:rPr>
                <w:rFonts w:asciiTheme="minorHAnsi" w:hAnsiTheme="minorHAnsi"/>
                <w:bCs/>
                <w:sz w:val="22"/>
                <w:szCs w:val="22"/>
              </w:rPr>
              <w:t xml:space="preserve">the </w:t>
            </w:r>
            <w:r w:rsidRPr="00754E67">
              <w:rPr>
                <w:rFonts w:asciiTheme="minorHAnsi" w:hAnsiTheme="minorHAnsi"/>
                <w:bCs/>
                <w:sz w:val="22"/>
                <w:szCs w:val="22"/>
              </w:rPr>
              <w:t>impact of these new requirements.  Consider whether you need to identify fixed price subawards in your tracking system.</w:t>
            </w:r>
          </w:p>
          <w:p w14:paraId="2B16EB52" w14:textId="1E1509EB" w:rsidR="00F2478E" w:rsidRPr="00754E67" w:rsidRDefault="00F2478E" w:rsidP="004C28F6">
            <w:pPr>
              <w:pStyle w:val="PlainText"/>
              <w:numPr>
                <w:ilvl w:val="0"/>
                <w:numId w:val="3"/>
              </w:numPr>
              <w:jc w:val="both"/>
              <w:rPr>
                <w:rFonts w:asciiTheme="minorHAnsi" w:hAnsiTheme="minorHAnsi"/>
                <w:bCs/>
                <w:sz w:val="22"/>
                <w:szCs w:val="22"/>
              </w:rPr>
            </w:pPr>
            <w:r w:rsidRPr="00754E67">
              <w:rPr>
                <w:rFonts w:asciiTheme="minorHAnsi" w:hAnsiTheme="minorHAnsi"/>
                <w:bCs/>
                <w:sz w:val="22"/>
                <w:szCs w:val="22"/>
              </w:rPr>
              <w:t xml:space="preserve">Review procedures to ensure prior approval is obtained from the agency before </w:t>
            </w:r>
            <w:r w:rsidR="00AB3EEC">
              <w:rPr>
                <w:rFonts w:asciiTheme="minorHAnsi" w:hAnsiTheme="minorHAnsi"/>
                <w:bCs/>
                <w:sz w:val="22"/>
                <w:szCs w:val="22"/>
              </w:rPr>
              <w:t>executing</w:t>
            </w:r>
            <w:r w:rsidRPr="00754E67">
              <w:rPr>
                <w:rFonts w:asciiTheme="minorHAnsi" w:hAnsiTheme="minorHAnsi"/>
                <w:bCs/>
                <w:sz w:val="22"/>
                <w:szCs w:val="22"/>
              </w:rPr>
              <w:t xml:space="preserve"> a fixed price subaward.</w:t>
            </w:r>
          </w:p>
          <w:p w14:paraId="13778729" w14:textId="78D02317" w:rsidR="008E36CE" w:rsidRDefault="00F2478E" w:rsidP="004C28F6">
            <w:pPr>
              <w:pStyle w:val="PlainText"/>
              <w:numPr>
                <w:ilvl w:val="0"/>
                <w:numId w:val="3"/>
              </w:numPr>
              <w:jc w:val="both"/>
              <w:rPr>
                <w:rFonts w:asciiTheme="minorHAnsi" w:hAnsiTheme="minorHAnsi"/>
                <w:bCs/>
                <w:sz w:val="22"/>
                <w:szCs w:val="22"/>
              </w:rPr>
            </w:pPr>
            <w:r w:rsidRPr="00754E67">
              <w:rPr>
                <w:rFonts w:asciiTheme="minorHAnsi" w:hAnsiTheme="minorHAnsi"/>
                <w:bCs/>
                <w:sz w:val="22"/>
                <w:szCs w:val="22"/>
              </w:rPr>
              <w:t xml:space="preserve">For fixed price subawards exceeding $150K, develop </w:t>
            </w:r>
            <w:r w:rsidR="00AB3EEC">
              <w:rPr>
                <w:rFonts w:asciiTheme="minorHAnsi" w:hAnsiTheme="minorHAnsi"/>
                <w:bCs/>
                <w:sz w:val="22"/>
                <w:szCs w:val="22"/>
              </w:rPr>
              <w:t xml:space="preserve">a </w:t>
            </w:r>
            <w:r w:rsidRPr="00754E67">
              <w:rPr>
                <w:rFonts w:asciiTheme="minorHAnsi" w:hAnsiTheme="minorHAnsi"/>
                <w:bCs/>
                <w:sz w:val="22"/>
                <w:szCs w:val="22"/>
              </w:rPr>
              <w:t>process to create separate statements of work and deliverables that stay within the $150K threshold, or decide when you will consult the agency for guidance</w:t>
            </w:r>
            <w:r w:rsidR="000F34D6">
              <w:rPr>
                <w:rFonts w:asciiTheme="minorHAnsi" w:hAnsiTheme="minorHAnsi"/>
                <w:bCs/>
                <w:sz w:val="22"/>
                <w:szCs w:val="22"/>
              </w:rPr>
              <w:t>.</w:t>
            </w:r>
            <w:r w:rsidR="000F34D6" w:rsidRPr="00754E67">
              <w:rPr>
                <w:rFonts w:asciiTheme="minorHAnsi" w:hAnsiTheme="minorHAnsi"/>
                <w:bCs/>
                <w:sz w:val="22"/>
                <w:szCs w:val="22"/>
              </w:rPr>
              <w:t xml:space="preserve"> </w:t>
            </w:r>
          </w:p>
          <w:p w14:paraId="294E81BB" w14:textId="31C4A43D" w:rsidR="00F2478E" w:rsidRPr="00754E67" w:rsidRDefault="00F2478E" w:rsidP="004C28F6">
            <w:pPr>
              <w:pStyle w:val="PlainText"/>
              <w:numPr>
                <w:ilvl w:val="0"/>
                <w:numId w:val="3"/>
              </w:numPr>
              <w:jc w:val="both"/>
              <w:rPr>
                <w:rFonts w:asciiTheme="minorHAnsi" w:hAnsiTheme="minorHAnsi"/>
                <w:bCs/>
                <w:sz w:val="22"/>
                <w:szCs w:val="22"/>
              </w:rPr>
            </w:pPr>
            <w:r w:rsidRPr="00754E67">
              <w:rPr>
                <w:rFonts w:asciiTheme="minorHAnsi" w:hAnsiTheme="minorHAnsi"/>
                <w:bCs/>
                <w:sz w:val="22"/>
                <w:szCs w:val="22"/>
              </w:rPr>
              <w:t xml:space="preserve">Review </w:t>
            </w:r>
            <w:r w:rsidR="000F34D6">
              <w:rPr>
                <w:rFonts w:asciiTheme="minorHAnsi" w:hAnsiTheme="minorHAnsi"/>
                <w:bCs/>
                <w:sz w:val="22"/>
                <w:szCs w:val="22"/>
              </w:rPr>
              <w:t xml:space="preserve">your </w:t>
            </w:r>
            <w:r w:rsidRPr="00754E67">
              <w:rPr>
                <w:rFonts w:asciiTheme="minorHAnsi" w:hAnsiTheme="minorHAnsi"/>
                <w:bCs/>
                <w:sz w:val="22"/>
                <w:szCs w:val="22"/>
              </w:rPr>
              <w:t xml:space="preserve">closeout process to </w:t>
            </w:r>
            <w:r w:rsidR="000F34D6">
              <w:rPr>
                <w:rFonts w:asciiTheme="minorHAnsi" w:hAnsiTheme="minorHAnsi"/>
                <w:bCs/>
                <w:sz w:val="22"/>
                <w:szCs w:val="22"/>
              </w:rPr>
              <w:t xml:space="preserve">ensure you </w:t>
            </w:r>
            <w:r w:rsidRPr="00754E67">
              <w:rPr>
                <w:rFonts w:asciiTheme="minorHAnsi" w:hAnsiTheme="minorHAnsi"/>
                <w:bCs/>
                <w:sz w:val="22"/>
                <w:szCs w:val="22"/>
              </w:rPr>
              <w:t>obtain mandatory completion certification. Determine procedure for deciding when cost adjustments are needed and the basis that will be used for adjusting cost (see FAQ</w:t>
            </w:r>
            <w:r w:rsidR="00FE31B3">
              <w:rPr>
                <w:rFonts w:asciiTheme="minorHAnsi" w:hAnsiTheme="minorHAnsi"/>
                <w:bCs/>
                <w:sz w:val="22"/>
                <w:szCs w:val="22"/>
              </w:rPr>
              <w:t>s</w:t>
            </w:r>
            <w:r w:rsidRPr="00754E67">
              <w:rPr>
                <w:rFonts w:asciiTheme="minorHAnsi" w:hAnsiTheme="minorHAnsi"/>
                <w:bCs/>
                <w:sz w:val="22"/>
                <w:szCs w:val="22"/>
              </w:rPr>
              <w:t xml:space="preserve"> .201-3 and 200.308)</w:t>
            </w:r>
            <w:r w:rsidR="00FE31B3">
              <w:rPr>
                <w:rFonts w:asciiTheme="minorHAnsi" w:hAnsiTheme="minorHAnsi"/>
                <w:bCs/>
                <w:sz w:val="22"/>
                <w:szCs w:val="22"/>
              </w:rPr>
              <w:t>.</w:t>
            </w:r>
          </w:p>
          <w:p w14:paraId="43D3ADB6" w14:textId="77777777" w:rsidR="00F2478E" w:rsidRPr="00754E67" w:rsidRDefault="00F2478E" w:rsidP="00B57FF8">
            <w:pPr>
              <w:pStyle w:val="TableContents"/>
              <w:rPr>
                <w:rFonts w:asciiTheme="minorHAnsi" w:hAnsiTheme="minorHAnsi"/>
                <w:bCs/>
                <w:sz w:val="22"/>
                <w:szCs w:val="22"/>
              </w:rPr>
            </w:pPr>
          </w:p>
        </w:tc>
      </w:tr>
    </w:tbl>
    <w:p w14:paraId="5D11A2B6" w14:textId="77777777" w:rsidR="00F2478E" w:rsidRDefault="00F2478E" w:rsidP="00F2478E">
      <w:pPr>
        <w:pStyle w:val="PlainText"/>
        <w:jc w:val="both"/>
        <w:rPr>
          <w:rFonts w:asciiTheme="minorHAnsi" w:hAnsiTheme="minorHAnsi" w:cs="Times New Roman"/>
          <w:sz w:val="22"/>
          <w:szCs w:val="22"/>
        </w:rPr>
      </w:pPr>
    </w:p>
    <w:p w14:paraId="089BFD2F" w14:textId="77777777" w:rsidR="00F2478E" w:rsidRDefault="00F2478E" w:rsidP="00F2478E">
      <w:pPr>
        <w:pStyle w:val="PlainText"/>
        <w:jc w:val="both"/>
        <w:rPr>
          <w:rFonts w:asciiTheme="minorHAnsi" w:hAnsiTheme="minorHAnsi" w:cs="Times New Roman"/>
          <w:sz w:val="22"/>
          <w:szCs w:val="22"/>
        </w:rPr>
      </w:pPr>
    </w:p>
    <w:p w14:paraId="634C981D" w14:textId="77777777" w:rsidR="00F2478E" w:rsidRDefault="00F2478E" w:rsidP="00F2478E">
      <w:pPr>
        <w:pStyle w:val="PlainText"/>
        <w:jc w:val="both"/>
        <w:rPr>
          <w:rFonts w:asciiTheme="minorHAnsi" w:hAnsiTheme="minorHAnsi" w:cs="Times New Roman"/>
          <w:sz w:val="22"/>
          <w:szCs w:val="22"/>
        </w:rPr>
      </w:pPr>
    </w:p>
    <w:p w14:paraId="0C74788A" w14:textId="63DF2CC7" w:rsidR="00DE1190" w:rsidRDefault="00DE1190">
      <w:pPr>
        <w:spacing w:after="200" w:line="276" w:lineRule="auto"/>
        <w:rPr>
          <w:rFonts w:asciiTheme="minorHAnsi" w:eastAsiaTheme="minorHAnsi" w:hAnsiTheme="minorHAnsi"/>
          <w:b w:val="0"/>
          <w:sz w:val="22"/>
          <w:szCs w:val="22"/>
        </w:rPr>
      </w:pPr>
      <w:r>
        <w:rPr>
          <w:rFonts w:asciiTheme="minorHAnsi" w:hAnsiTheme="minorHAnsi"/>
          <w:sz w:val="22"/>
          <w:szCs w:val="22"/>
        </w:rPr>
        <w:br w:type="page"/>
      </w:r>
    </w:p>
    <w:p w14:paraId="608D28FA" w14:textId="77777777" w:rsidR="00F2478E" w:rsidRDefault="00F2478E" w:rsidP="00F2478E">
      <w:pPr>
        <w:pStyle w:val="Standard"/>
        <w:rPr>
          <w:rFonts w:ascii="Calibri" w:hAnsi="Calibri"/>
          <w:vanish/>
          <w:sz w:val="22"/>
          <w:szCs w:val="22"/>
        </w:rPr>
      </w:pPr>
    </w:p>
    <w:tbl>
      <w:tblPr>
        <w:tblStyle w:val="TableGrid"/>
        <w:tblW w:w="14130" w:type="dxa"/>
        <w:tblInd w:w="108" w:type="dxa"/>
        <w:tblLook w:val="04A0" w:firstRow="1" w:lastRow="0" w:firstColumn="1" w:lastColumn="0" w:noHBand="0" w:noVBand="1"/>
      </w:tblPr>
      <w:tblGrid>
        <w:gridCol w:w="14130"/>
      </w:tblGrid>
      <w:tr w:rsidR="006808E9" w:rsidRPr="00B5307A" w14:paraId="3E36835F" w14:textId="77777777" w:rsidTr="006808E9">
        <w:trPr>
          <w:trHeight w:val="288"/>
        </w:trPr>
        <w:tc>
          <w:tcPr>
            <w:tcW w:w="14130" w:type="dxa"/>
            <w:shd w:val="clear" w:color="auto" w:fill="EEECE1" w:themeFill="background2"/>
          </w:tcPr>
          <w:p w14:paraId="0582D0B1" w14:textId="77777777" w:rsidR="006808E9" w:rsidRPr="003B390D" w:rsidRDefault="003253CD" w:rsidP="006808E9">
            <w:pPr>
              <w:pStyle w:val="NoSpacing"/>
              <w:jc w:val="center"/>
              <w:rPr>
                <w:b/>
                <w:i/>
                <w:sz w:val="12"/>
                <w:szCs w:val="12"/>
              </w:rPr>
            </w:pPr>
            <w:r>
              <w:rPr>
                <w:b/>
              </w:rPr>
              <w:br w:type="page"/>
            </w:r>
          </w:p>
          <w:p w14:paraId="068CCAFB" w14:textId="1D119FF9" w:rsidR="006808E9" w:rsidRPr="0029749C" w:rsidRDefault="00860CD3" w:rsidP="006808E9">
            <w:pPr>
              <w:pStyle w:val="NoSpacing"/>
              <w:jc w:val="center"/>
              <w:rPr>
                <w:b/>
                <w:i/>
                <w:sz w:val="24"/>
                <w:szCs w:val="24"/>
              </w:rPr>
            </w:pPr>
            <w:r>
              <w:rPr>
                <w:b/>
                <w:i/>
                <w:sz w:val="24"/>
                <w:szCs w:val="24"/>
              </w:rPr>
              <w:t>E</w:t>
            </w:r>
            <w:r w:rsidR="006808E9" w:rsidRPr="0029749C">
              <w:rPr>
                <w:b/>
                <w:i/>
                <w:sz w:val="24"/>
                <w:szCs w:val="24"/>
              </w:rPr>
              <w:t xml:space="preserve">. </w:t>
            </w:r>
            <w:r w:rsidR="006808E9" w:rsidRPr="0029749C">
              <w:rPr>
                <w:rFonts w:cs="Times New Roman"/>
                <w:b/>
                <w:i/>
                <w:sz w:val="24"/>
                <w:szCs w:val="24"/>
              </w:rPr>
              <w:t>PROPOSING AND CHARGING COST ITEMS</w:t>
            </w:r>
          </w:p>
          <w:p w14:paraId="6253A6E5" w14:textId="77777777" w:rsidR="006808E9" w:rsidRPr="00F16946" w:rsidRDefault="006808E9" w:rsidP="006808E9">
            <w:pPr>
              <w:pStyle w:val="NoSpacing"/>
              <w:jc w:val="both"/>
              <w:rPr>
                <w:b/>
                <w:i/>
                <w:sz w:val="8"/>
                <w:szCs w:val="8"/>
              </w:rPr>
            </w:pPr>
          </w:p>
        </w:tc>
      </w:tr>
    </w:tbl>
    <w:p w14:paraId="4C5AA7BB" w14:textId="77777777" w:rsidR="006808E9" w:rsidRDefault="006808E9" w:rsidP="006808E9">
      <w:pPr>
        <w:pStyle w:val="PlainText"/>
        <w:jc w:val="both"/>
        <w:rPr>
          <w:rFonts w:asciiTheme="minorHAnsi" w:hAnsiTheme="minorHAnsi" w:cs="Times New Roman"/>
          <w:sz w:val="22"/>
          <w:szCs w:val="22"/>
        </w:rPr>
      </w:pPr>
    </w:p>
    <w:tbl>
      <w:tblPr>
        <w:tblStyle w:val="TableGrid"/>
        <w:tblW w:w="14673" w:type="dxa"/>
        <w:tblInd w:w="-162" w:type="dxa"/>
        <w:tblLayout w:type="fixed"/>
        <w:tblLook w:val="04A0" w:firstRow="1" w:lastRow="0" w:firstColumn="1" w:lastColumn="0" w:noHBand="0" w:noVBand="1"/>
      </w:tblPr>
      <w:tblGrid>
        <w:gridCol w:w="518"/>
        <w:gridCol w:w="1872"/>
        <w:gridCol w:w="12283"/>
      </w:tblGrid>
      <w:tr w:rsidR="007D1DEE" w:rsidRPr="00A116C4" w14:paraId="4C4B81F7" w14:textId="77777777" w:rsidTr="000D538B">
        <w:trPr>
          <w:trHeight w:val="432"/>
        </w:trPr>
        <w:tc>
          <w:tcPr>
            <w:tcW w:w="518" w:type="dxa"/>
          </w:tcPr>
          <w:p w14:paraId="4CE19111" w14:textId="77777777" w:rsidR="007D1DEE" w:rsidRDefault="007D1DEE" w:rsidP="006808E9">
            <w:pPr>
              <w:pStyle w:val="PlainText"/>
              <w:jc w:val="center"/>
              <w:rPr>
                <w:rFonts w:asciiTheme="minorHAnsi" w:hAnsiTheme="minorHAnsi" w:cs="Times New Roman"/>
                <w:b/>
                <w:sz w:val="22"/>
                <w:szCs w:val="22"/>
              </w:rPr>
            </w:pPr>
          </w:p>
          <w:p w14:paraId="048714BE" w14:textId="77777777" w:rsidR="007D1DEE" w:rsidRPr="00A116C4" w:rsidRDefault="007D1DEE" w:rsidP="006808E9">
            <w:pPr>
              <w:pStyle w:val="PlainText"/>
              <w:jc w:val="center"/>
              <w:rPr>
                <w:rFonts w:asciiTheme="minorHAnsi" w:hAnsiTheme="minorHAnsi" w:cs="Times New Roman"/>
                <w:b/>
                <w:sz w:val="22"/>
                <w:szCs w:val="22"/>
              </w:rPr>
            </w:pPr>
            <w:r>
              <w:rPr>
                <w:rFonts w:asciiTheme="minorHAnsi" w:hAnsiTheme="minorHAnsi" w:cs="Times New Roman"/>
                <w:b/>
                <w:sz w:val="22"/>
                <w:szCs w:val="22"/>
              </w:rPr>
              <w:t>#</w:t>
            </w:r>
          </w:p>
        </w:tc>
        <w:tc>
          <w:tcPr>
            <w:tcW w:w="1872" w:type="dxa"/>
          </w:tcPr>
          <w:p w14:paraId="4D336F26" w14:textId="77777777" w:rsidR="007D1DEE" w:rsidRDefault="007D1DEE" w:rsidP="006808E9">
            <w:pPr>
              <w:pStyle w:val="PlainText"/>
              <w:jc w:val="center"/>
              <w:rPr>
                <w:rFonts w:asciiTheme="minorHAnsi" w:hAnsiTheme="minorHAnsi" w:cs="Times New Roman"/>
                <w:b/>
                <w:sz w:val="22"/>
                <w:szCs w:val="22"/>
              </w:rPr>
            </w:pPr>
          </w:p>
          <w:p w14:paraId="493BF280" w14:textId="77777777" w:rsidR="007D1DEE" w:rsidRPr="00A116C4" w:rsidRDefault="007D1DEE" w:rsidP="006808E9">
            <w:pPr>
              <w:pStyle w:val="PlainText"/>
              <w:jc w:val="center"/>
              <w:rPr>
                <w:rFonts w:asciiTheme="minorHAnsi" w:hAnsiTheme="minorHAnsi" w:cs="Times New Roman"/>
                <w:b/>
                <w:sz w:val="22"/>
                <w:szCs w:val="22"/>
              </w:rPr>
            </w:pPr>
            <w:r>
              <w:rPr>
                <w:rFonts w:asciiTheme="minorHAnsi" w:hAnsiTheme="minorHAnsi" w:cs="Times New Roman"/>
                <w:b/>
                <w:sz w:val="22"/>
                <w:szCs w:val="22"/>
              </w:rPr>
              <w:t>Item</w:t>
            </w:r>
          </w:p>
        </w:tc>
        <w:tc>
          <w:tcPr>
            <w:tcW w:w="12283" w:type="dxa"/>
          </w:tcPr>
          <w:p w14:paraId="1BD2EF58" w14:textId="74D80BC3" w:rsidR="007D1DEE" w:rsidRDefault="007D1DEE" w:rsidP="004B387B">
            <w:pPr>
              <w:pStyle w:val="PlainText"/>
              <w:jc w:val="center"/>
              <w:rPr>
                <w:rFonts w:asciiTheme="minorHAnsi" w:hAnsiTheme="minorHAnsi" w:cs="Times New Roman"/>
                <w:b/>
                <w:sz w:val="22"/>
                <w:szCs w:val="22"/>
              </w:rPr>
            </w:pPr>
            <w:r>
              <w:rPr>
                <w:rFonts w:asciiTheme="minorHAnsi" w:hAnsiTheme="minorHAnsi" w:cs="Times New Roman"/>
                <w:b/>
                <w:sz w:val="22"/>
                <w:szCs w:val="22"/>
              </w:rPr>
              <w:t>Summary and</w:t>
            </w:r>
          </w:p>
          <w:p w14:paraId="0634CA74" w14:textId="5E3661ED" w:rsidR="007D1DEE" w:rsidRPr="00A116C4" w:rsidRDefault="007D1DEE" w:rsidP="000457A9">
            <w:pPr>
              <w:pStyle w:val="PlainText"/>
              <w:jc w:val="center"/>
              <w:rPr>
                <w:rFonts w:asciiTheme="minorHAnsi" w:hAnsiTheme="minorHAnsi" w:cs="Times New Roman"/>
                <w:b/>
                <w:sz w:val="22"/>
                <w:szCs w:val="22"/>
              </w:rPr>
            </w:pPr>
            <w:r>
              <w:rPr>
                <w:rFonts w:asciiTheme="minorHAnsi" w:hAnsiTheme="minorHAnsi" w:cs="Times New Roman"/>
                <w:b/>
                <w:sz w:val="22"/>
                <w:szCs w:val="22"/>
              </w:rPr>
              <w:t xml:space="preserve">Points </w:t>
            </w:r>
            <w:r w:rsidR="000457A9">
              <w:rPr>
                <w:rFonts w:asciiTheme="minorHAnsi" w:hAnsiTheme="minorHAnsi" w:cs="Times New Roman"/>
                <w:b/>
                <w:sz w:val="22"/>
                <w:szCs w:val="22"/>
              </w:rPr>
              <w:t>to</w:t>
            </w:r>
            <w:r>
              <w:rPr>
                <w:rFonts w:asciiTheme="minorHAnsi" w:hAnsiTheme="minorHAnsi" w:cs="Times New Roman"/>
                <w:b/>
                <w:sz w:val="22"/>
                <w:szCs w:val="22"/>
              </w:rPr>
              <w:t xml:space="preserve"> Consider</w:t>
            </w:r>
          </w:p>
        </w:tc>
      </w:tr>
      <w:tr w:rsidR="007D1DEE" w:rsidRPr="004A46A7" w14:paraId="7A483581" w14:textId="77777777" w:rsidTr="000D538B">
        <w:trPr>
          <w:trHeight w:val="144"/>
        </w:trPr>
        <w:tc>
          <w:tcPr>
            <w:tcW w:w="518" w:type="dxa"/>
          </w:tcPr>
          <w:p w14:paraId="07C5BF5E" w14:textId="77777777" w:rsidR="007D1DEE" w:rsidRDefault="007D1DEE" w:rsidP="006808E9">
            <w:pPr>
              <w:pStyle w:val="PlainText"/>
              <w:jc w:val="center"/>
              <w:rPr>
                <w:b/>
              </w:rPr>
            </w:pPr>
          </w:p>
        </w:tc>
        <w:tc>
          <w:tcPr>
            <w:tcW w:w="1872" w:type="dxa"/>
          </w:tcPr>
          <w:p w14:paraId="484B3C6F" w14:textId="77777777" w:rsidR="007D1DEE" w:rsidRDefault="007D1DEE" w:rsidP="006808E9">
            <w:pPr>
              <w:pStyle w:val="PlainText"/>
              <w:jc w:val="center"/>
              <w:rPr>
                <w:rFonts w:asciiTheme="minorHAnsi" w:hAnsiTheme="minorHAnsi"/>
                <w:b/>
                <w:i/>
                <w:sz w:val="22"/>
                <w:szCs w:val="22"/>
              </w:rPr>
            </w:pPr>
          </w:p>
        </w:tc>
        <w:tc>
          <w:tcPr>
            <w:tcW w:w="12283" w:type="dxa"/>
          </w:tcPr>
          <w:p w14:paraId="095A4C83" w14:textId="77777777" w:rsidR="007D1DEE" w:rsidRPr="00921CCA" w:rsidRDefault="007D1DEE" w:rsidP="006808E9">
            <w:pPr>
              <w:pStyle w:val="PlainText"/>
              <w:jc w:val="both"/>
              <w:rPr>
                <w:rFonts w:asciiTheme="minorHAnsi" w:hAnsiTheme="minorHAnsi" w:cs="Courier"/>
                <w:sz w:val="22"/>
                <w:szCs w:val="22"/>
              </w:rPr>
            </w:pPr>
          </w:p>
        </w:tc>
      </w:tr>
      <w:tr w:rsidR="007D1DEE" w:rsidRPr="004A46A7" w14:paraId="13225D4B" w14:textId="77777777" w:rsidTr="000D538B">
        <w:trPr>
          <w:trHeight w:val="432"/>
        </w:trPr>
        <w:tc>
          <w:tcPr>
            <w:tcW w:w="518" w:type="dxa"/>
          </w:tcPr>
          <w:p w14:paraId="3F39A02E" w14:textId="77777777" w:rsidR="007D1DEE" w:rsidRPr="009F48BA" w:rsidRDefault="007D1DEE" w:rsidP="006808E9">
            <w:pPr>
              <w:pStyle w:val="PlainText"/>
              <w:jc w:val="center"/>
              <w:rPr>
                <w:rFonts w:asciiTheme="minorHAnsi" w:hAnsiTheme="minorHAnsi" w:cs="Times New Roman"/>
                <w:b/>
                <w:sz w:val="22"/>
                <w:szCs w:val="22"/>
              </w:rPr>
            </w:pPr>
            <w:r w:rsidRPr="009F48BA">
              <w:rPr>
                <w:rFonts w:asciiTheme="minorHAnsi" w:hAnsiTheme="minorHAnsi"/>
                <w:b/>
                <w:sz w:val="22"/>
                <w:szCs w:val="22"/>
              </w:rPr>
              <w:br w:type="page"/>
              <w:t>1</w:t>
            </w:r>
            <w:r w:rsidRPr="009F48BA">
              <w:rPr>
                <w:rFonts w:asciiTheme="minorHAnsi" w:hAnsiTheme="minorHAnsi" w:cs="Times New Roman"/>
                <w:b/>
                <w:sz w:val="22"/>
                <w:szCs w:val="22"/>
              </w:rPr>
              <w:t>.</w:t>
            </w:r>
          </w:p>
        </w:tc>
        <w:tc>
          <w:tcPr>
            <w:tcW w:w="1872" w:type="dxa"/>
          </w:tcPr>
          <w:p w14:paraId="20C2EA8A" w14:textId="77777777" w:rsidR="007D1DEE" w:rsidRPr="009F48BA" w:rsidRDefault="007D1DEE" w:rsidP="006808E9">
            <w:pPr>
              <w:pStyle w:val="PlainText"/>
              <w:jc w:val="center"/>
              <w:rPr>
                <w:rFonts w:asciiTheme="minorHAnsi" w:hAnsiTheme="minorHAnsi" w:cs="Times New Roman"/>
                <w:b/>
                <w:i/>
                <w:sz w:val="22"/>
                <w:szCs w:val="22"/>
              </w:rPr>
            </w:pPr>
            <w:r w:rsidRPr="009F48BA">
              <w:rPr>
                <w:rFonts w:asciiTheme="minorHAnsi" w:hAnsiTheme="minorHAnsi" w:cs="Times New Roman"/>
                <w:b/>
                <w:i/>
                <w:sz w:val="22"/>
                <w:szCs w:val="22"/>
              </w:rPr>
              <w:t>Direct charging of administrative and clerical salaries</w:t>
            </w:r>
          </w:p>
          <w:p w14:paraId="70AC8433" w14:textId="77777777" w:rsidR="007D1DEE" w:rsidRPr="009F48BA" w:rsidRDefault="007D1DEE" w:rsidP="006808E9">
            <w:pPr>
              <w:pStyle w:val="PlainText"/>
              <w:jc w:val="center"/>
              <w:rPr>
                <w:rFonts w:asciiTheme="minorHAnsi" w:hAnsiTheme="minorHAnsi" w:cs="Times New Roman"/>
                <w:b/>
                <w:i/>
                <w:sz w:val="12"/>
                <w:szCs w:val="12"/>
              </w:rPr>
            </w:pPr>
          </w:p>
          <w:p w14:paraId="25589117" w14:textId="77777777" w:rsidR="007D1DEE" w:rsidRPr="009F48BA" w:rsidRDefault="007D1DEE" w:rsidP="006808E9">
            <w:pPr>
              <w:pStyle w:val="PlainText"/>
              <w:jc w:val="center"/>
              <w:rPr>
                <w:rFonts w:asciiTheme="minorHAnsi" w:hAnsiTheme="minorHAnsi" w:cs="Times New Roman"/>
                <w:b/>
                <w:i/>
                <w:sz w:val="22"/>
                <w:szCs w:val="22"/>
              </w:rPr>
            </w:pPr>
            <w:r w:rsidRPr="009F48BA">
              <w:rPr>
                <w:rFonts w:asciiTheme="minorHAnsi" w:hAnsiTheme="minorHAnsi" w:cs="Times New Roman"/>
                <w:b/>
                <w:i/>
                <w:sz w:val="22"/>
                <w:szCs w:val="22"/>
              </w:rPr>
              <w:t>(200.413)</w:t>
            </w:r>
          </w:p>
        </w:tc>
        <w:tc>
          <w:tcPr>
            <w:tcW w:w="12283" w:type="dxa"/>
          </w:tcPr>
          <w:p w14:paraId="09D6F7F8" w14:textId="52C98A82" w:rsidR="007D1DEE" w:rsidRPr="00744180" w:rsidRDefault="00DE1190" w:rsidP="00744180">
            <w:pPr>
              <w:widowControl w:val="0"/>
              <w:autoSpaceDE w:val="0"/>
              <w:autoSpaceDN w:val="0"/>
              <w:adjustRightInd w:val="0"/>
              <w:jc w:val="both"/>
              <w:rPr>
                <w:rFonts w:asciiTheme="minorHAnsi" w:eastAsiaTheme="minorHAnsi" w:hAnsiTheme="minorHAnsi" w:cs="Georgia"/>
                <w:b w:val="0"/>
                <w:sz w:val="22"/>
                <w:szCs w:val="22"/>
              </w:rPr>
            </w:pPr>
            <w:r>
              <w:rPr>
                <w:rFonts w:asciiTheme="minorHAnsi" w:eastAsiaTheme="minorHAnsi" w:hAnsiTheme="minorHAnsi" w:cs="Georgia"/>
                <w:b w:val="0"/>
                <w:sz w:val="22"/>
                <w:szCs w:val="22"/>
              </w:rPr>
              <w:t xml:space="preserve">200.413(c) states that </w:t>
            </w:r>
            <w:r w:rsidR="007D1DEE" w:rsidRPr="00744180">
              <w:rPr>
                <w:rFonts w:asciiTheme="minorHAnsi" w:eastAsiaTheme="minorHAnsi" w:hAnsiTheme="minorHAnsi" w:cs="Georgia"/>
                <w:b w:val="0"/>
                <w:sz w:val="22"/>
                <w:szCs w:val="22"/>
              </w:rPr>
              <w:t>salaries of administrative and clerical staff should normally be treated as indirect (F&amp;A) costs. Direct charging of these costs may be appropriate only if all of the following conditions are met:</w:t>
            </w:r>
          </w:p>
          <w:p w14:paraId="0F31C025" w14:textId="697357C4" w:rsidR="007D1DEE" w:rsidRPr="00744180" w:rsidRDefault="007D1DEE" w:rsidP="002641E2">
            <w:pPr>
              <w:widowControl w:val="0"/>
              <w:autoSpaceDE w:val="0"/>
              <w:autoSpaceDN w:val="0"/>
              <w:adjustRightInd w:val="0"/>
              <w:ind w:left="288"/>
              <w:jc w:val="both"/>
              <w:rPr>
                <w:rFonts w:asciiTheme="minorHAnsi" w:eastAsiaTheme="minorHAnsi" w:hAnsiTheme="minorHAnsi" w:cs="Georgia"/>
                <w:b w:val="0"/>
                <w:sz w:val="22"/>
                <w:szCs w:val="22"/>
              </w:rPr>
            </w:pPr>
            <w:r w:rsidRPr="00744180">
              <w:rPr>
                <w:rFonts w:asciiTheme="minorHAnsi" w:eastAsiaTheme="minorHAnsi" w:hAnsiTheme="minorHAnsi" w:cs="Georgia"/>
                <w:b w:val="0"/>
                <w:sz w:val="22"/>
                <w:szCs w:val="22"/>
              </w:rPr>
              <w:t xml:space="preserve">1. Administrative or clerical </w:t>
            </w:r>
            <w:r w:rsidRPr="00DE1190">
              <w:rPr>
                <w:rFonts w:asciiTheme="minorHAnsi" w:eastAsiaTheme="minorHAnsi" w:hAnsiTheme="minorHAnsi" w:cs="Georgia"/>
                <w:b w:val="0"/>
                <w:sz w:val="22"/>
                <w:szCs w:val="22"/>
              </w:rPr>
              <w:t>services are </w:t>
            </w:r>
            <w:r w:rsidRPr="00DE1190">
              <w:rPr>
                <w:rFonts w:asciiTheme="minorHAnsi" w:eastAsiaTheme="minorHAnsi" w:hAnsiTheme="minorHAnsi" w:cs="Georgia"/>
                <w:b w:val="0"/>
                <w:bCs/>
                <w:sz w:val="22"/>
                <w:szCs w:val="22"/>
              </w:rPr>
              <w:t>integral</w:t>
            </w:r>
            <w:r w:rsidRPr="00744180">
              <w:rPr>
                <w:rFonts w:asciiTheme="minorHAnsi" w:eastAsiaTheme="minorHAnsi" w:hAnsiTheme="minorHAnsi" w:cs="Georgia"/>
                <w:b w:val="0"/>
                <w:sz w:val="22"/>
                <w:szCs w:val="22"/>
              </w:rPr>
              <w:t> to a project or activity;</w:t>
            </w:r>
          </w:p>
          <w:p w14:paraId="3CDD16B1" w14:textId="08FAE475" w:rsidR="007D1DEE" w:rsidRPr="00744180" w:rsidRDefault="007D1DEE" w:rsidP="002641E2">
            <w:pPr>
              <w:widowControl w:val="0"/>
              <w:autoSpaceDE w:val="0"/>
              <w:autoSpaceDN w:val="0"/>
              <w:adjustRightInd w:val="0"/>
              <w:ind w:left="288"/>
              <w:jc w:val="both"/>
              <w:rPr>
                <w:rFonts w:asciiTheme="minorHAnsi" w:eastAsiaTheme="minorHAnsi" w:hAnsiTheme="minorHAnsi" w:cs="Georgia"/>
                <w:b w:val="0"/>
                <w:sz w:val="22"/>
                <w:szCs w:val="22"/>
              </w:rPr>
            </w:pPr>
            <w:r w:rsidRPr="00744180">
              <w:rPr>
                <w:rFonts w:asciiTheme="minorHAnsi" w:eastAsiaTheme="minorHAnsi" w:hAnsiTheme="minorHAnsi" w:cs="Georgia"/>
                <w:b w:val="0"/>
                <w:sz w:val="22"/>
                <w:szCs w:val="22"/>
              </w:rPr>
              <w:t>2. Individuals involved can be specifically identified with the project or activity;</w:t>
            </w:r>
          </w:p>
          <w:p w14:paraId="6A3CB5DF" w14:textId="1C1AFF59" w:rsidR="007D1DEE" w:rsidRPr="00744180" w:rsidRDefault="007D1DEE" w:rsidP="002641E2">
            <w:pPr>
              <w:widowControl w:val="0"/>
              <w:autoSpaceDE w:val="0"/>
              <w:autoSpaceDN w:val="0"/>
              <w:adjustRightInd w:val="0"/>
              <w:ind w:left="288"/>
              <w:jc w:val="both"/>
              <w:rPr>
                <w:rFonts w:asciiTheme="minorHAnsi" w:eastAsiaTheme="minorHAnsi" w:hAnsiTheme="minorHAnsi" w:cs="Georgia"/>
                <w:b w:val="0"/>
                <w:sz w:val="22"/>
                <w:szCs w:val="22"/>
              </w:rPr>
            </w:pPr>
            <w:r w:rsidRPr="00744180">
              <w:rPr>
                <w:rFonts w:asciiTheme="minorHAnsi" w:eastAsiaTheme="minorHAnsi" w:hAnsiTheme="minorHAnsi" w:cs="Georgia"/>
                <w:b w:val="0"/>
                <w:sz w:val="22"/>
                <w:szCs w:val="22"/>
              </w:rPr>
              <w:t>3. Such costs are explicitly included in the budget or have the prior written approval of the federal awarding agency; and</w:t>
            </w:r>
          </w:p>
          <w:p w14:paraId="48F0838E" w14:textId="52C2BE91" w:rsidR="007D1DEE" w:rsidRPr="00744180" w:rsidRDefault="007D1DEE" w:rsidP="002641E2">
            <w:pPr>
              <w:pStyle w:val="Default"/>
              <w:ind w:left="288"/>
              <w:jc w:val="both"/>
              <w:rPr>
                <w:rFonts w:asciiTheme="minorHAnsi" w:hAnsiTheme="minorHAnsi"/>
                <w:color w:val="auto"/>
                <w:sz w:val="22"/>
                <w:szCs w:val="22"/>
                <w:highlight w:val="yellow"/>
              </w:rPr>
            </w:pPr>
            <w:r w:rsidRPr="00744180">
              <w:rPr>
                <w:rFonts w:asciiTheme="minorHAnsi" w:hAnsiTheme="minorHAnsi" w:cs="Georgia"/>
                <w:color w:val="auto"/>
                <w:sz w:val="22"/>
                <w:szCs w:val="22"/>
              </w:rPr>
              <w:t>4. The costs are not also recovered as indirect costs.</w:t>
            </w:r>
            <w:r w:rsidRPr="00744180" w:rsidDel="005B468C">
              <w:rPr>
                <w:rFonts w:asciiTheme="minorHAnsi" w:hAnsiTheme="minorHAnsi"/>
                <w:color w:val="auto"/>
                <w:sz w:val="22"/>
                <w:szCs w:val="22"/>
                <w:highlight w:val="yellow"/>
              </w:rPr>
              <w:t xml:space="preserve"> </w:t>
            </w:r>
          </w:p>
          <w:p w14:paraId="3BA035B9" w14:textId="77777777" w:rsidR="007D1DEE" w:rsidRPr="00744180" w:rsidRDefault="007D1DEE" w:rsidP="00744180">
            <w:pPr>
              <w:pStyle w:val="Default"/>
              <w:jc w:val="both"/>
              <w:rPr>
                <w:rFonts w:asciiTheme="minorHAnsi" w:hAnsiTheme="minorHAnsi"/>
                <w:color w:val="auto"/>
                <w:sz w:val="22"/>
                <w:szCs w:val="22"/>
              </w:rPr>
            </w:pPr>
          </w:p>
          <w:p w14:paraId="581DB48E" w14:textId="584B4470" w:rsidR="00DE1190" w:rsidRDefault="0083269B" w:rsidP="00DE1190">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DE1190" w:rsidRPr="006D640C">
              <w:rPr>
                <w:rFonts w:asciiTheme="minorHAnsi" w:hAnsiTheme="minorHAnsi"/>
                <w:b/>
                <w:i/>
                <w:sz w:val="22"/>
                <w:szCs w:val="22"/>
              </w:rPr>
              <w:t>:</w:t>
            </w:r>
          </w:p>
          <w:p w14:paraId="06A49CCE" w14:textId="77777777" w:rsidR="00DE1190" w:rsidRPr="000457A9" w:rsidRDefault="00DE1190" w:rsidP="00DE1190">
            <w:pPr>
              <w:pStyle w:val="TableContents"/>
              <w:jc w:val="both"/>
              <w:rPr>
                <w:rFonts w:asciiTheme="minorHAnsi" w:hAnsiTheme="minorHAnsi"/>
                <w:b/>
                <w:i/>
                <w:sz w:val="12"/>
                <w:szCs w:val="12"/>
              </w:rPr>
            </w:pPr>
          </w:p>
          <w:p w14:paraId="0C39C477" w14:textId="7008DBCE" w:rsidR="007D1DEE" w:rsidRPr="000457A9" w:rsidRDefault="007D1DEE" w:rsidP="004C28F6">
            <w:pPr>
              <w:pStyle w:val="Default"/>
              <w:numPr>
                <w:ilvl w:val="0"/>
                <w:numId w:val="23"/>
              </w:numPr>
              <w:jc w:val="both"/>
              <w:rPr>
                <w:rFonts w:asciiTheme="minorHAnsi" w:hAnsiTheme="minorHAnsi"/>
                <w:color w:val="auto"/>
                <w:sz w:val="22"/>
                <w:szCs w:val="22"/>
              </w:rPr>
            </w:pPr>
            <w:r w:rsidRPr="000457A9">
              <w:rPr>
                <w:rFonts w:asciiTheme="minorHAnsi" w:hAnsiTheme="minorHAnsi"/>
                <w:color w:val="auto"/>
                <w:sz w:val="22"/>
                <w:szCs w:val="22"/>
              </w:rPr>
              <w:t xml:space="preserve">Update and/or develop </w:t>
            </w:r>
            <w:r w:rsidR="000F34D6" w:rsidRPr="000457A9">
              <w:rPr>
                <w:rFonts w:asciiTheme="minorHAnsi" w:hAnsiTheme="minorHAnsi"/>
                <w:color w:val="auto"/>
                <w:sz w:val="22"/>
                <w:szCs w:val="22"/>
              </w:rPr>
              <w:t xml:space="preserve">a </w:t>
            </w:r>
            <w:r w:rsidRPr="000457A9">
              <w:rPr>
                <w:rFonts w:asciiTheme="minorHAnsi" w:hAnsiTheme="minorHAnsi"/>
                <w:color w:val="auto"/>
                <w:sz w:val="22"/>
                <w:szCs w:val="22"/>
              </w:rPr>
              <w:t>policy for charging administrative and clerical salaries</w:t>
            </w:r>
            <w:r w:rsidR="000F34D6" w:rsidRPr="000457A9">
              <w:rPr>
                <w:rFonts w:asciiTheme="minorHAnsi" w:hAnsiTheme="minorHAnsi"/>
                <w:color w:val="auto"/>
                <w:sz w:val="22"/>
                <w:szCs w:val="22"/>
              </w:rPr>
              <w:t xml:space="preserve"> that</w:t>
            </w:r>
            <w:r w:rsidRPr="000457A9">
              <w:rPr>
                <w:rFonts w:asciiTheme="minorHAnsi" w:hAnsiTheme="minorHAnsi"/>
                <w:color w:val="auto"/>
                <w:sz w:val="22"/>
                <w:szCs w:val="22"/>
              </w:rPr>
              <w:t xml:space="preserve"> addresses the UG criteria.</w:t>
            </w:r>
          </w:p>
          <w:p w14:paraId="605D7795" w14:textId="64EB5B23" w:rsidR="00DE1190" w:rsidRPr="000457A9" w:rsidRDefault="00DE1190" w:rsidP="004C28F6">
            <w:pPr>
              <w:pStyle w:val="Default"/>
              <w:numPr>
                <w:ilvl w:val="0"/>
                <w:numId w:val="23"/>
              </w:numPr>
              <w:jc w:val="both"/>
              <w:rPr>
                <w:rFonts w:asciiTheme="minorHAnsi" w:hAnsiTheme="minorHAnsi"/>
                <w:color w:val="auto"/>
                <w:sz w:val="22"/>
                <w:szCs w:val="22"/>
              </w:rPr>
            </w:pPr>
            <w:r w:rsidRPr="000457A9">
              <w:rPr>
                <w:rFonts w:asciiTheme="minorHAnsi" w:hAnsiTheme="minorHAnsi"/>
                <w:color w:val="auto"/>
                <w:sz w:val="22"/>
                <w:szCs w:val="22"/>
              </w:rPr>
              <w:t xml:space="preserve">Such a policy might define </w:t>
            </w:r>
            <w:r w:rsidR="000457A9" w:rsidRPr="000457A9">
              <w:rPr>
                <w:rFonts w:asciiTheme="minorHAnsi" w:hAnsiTheme="minorHAnsi"/>
                <w:color w:val="auto"/>
                <w:sz w:val="22"/>
                <w:szCs w:val="22"/>
                <w:u w:val="single"/>
              </w:rPr>
              <w:t>integral</w:t>
            </w:r>
            <w:r w:rsidRPr="000457A9">
              <w:rPr>
                <w:rFonts w:asciiTheme="minorHAnsi" w:hAnsiTheme="minorHAnsi"/>
                <w:i/>
                <w:iCs/>
                <w:color w:val="auto"/>
                <w:sz w:val="22"/>
                <w:szCs w:val="22"/>
              </w:rPr>
              <w:t>,</w:t>
            </w:r>
            <w:r w:rsidRPr="000457A9">
              <w:rPr>
                <w:rFonts w:asciiTheme="minorHAnsi" w:hAnsiTheme="minorHAnsi"/>
                <w:color w:val="auto"/>
                <w:sz w:val="22"/>
                <w:szCs w:val="22"/>
              </w:rPr>
              <w:t xml:space="preserve"> provide examples and FAQs, and specify when a budget justification is required.</w:t>
            </w:r>
          </w:p>
          <w:p w14:paraId="6729F59A" w14:textId="21B0A737" w:rsidR="00DE1190" w:rsidRPr="000457A9" w:rsidRDefault="00DE1190" w:rsidP="004C28F6">
            <w:pPr>
              <w:pStyle w:val="Default"/>
              <w:numPr>
                <w:ilvl w:val="0"/>
                <w:numId w:val="23"/>
              </w:numPr>
              <w:jc w:val="both"/>
              <w:rPr>
                <w:rFonts w:asciiTheme="minorHAnsi" w:hAnsiTheme="minorHAnsi"/>
                <w:color w:val="auto"/>
                <w:sz w:val="22"/>
                <w:szCs w:val="22"/>
              </w:rPr>
            </w:pPr>
            <w:r w:rsidRPr="000457A9">
              <w:rPr>
                <w:rFonts w:asciiTheme="minorHAnsi" w:hAnsiTheme="minorHAnsi"/>
                <w:color w:val="auto"/>
                <w:sz w:val="22"/>
                <w:szCs w:val="22"/>
              </w:rPr>
              <w:t>For non-federal projects consider requiring only that the cost be allocable to the project.</w:t>
            </w:r>
          </w:p>
          <w:p w14:paraId="6126532D" w14:textId="7E40E9EA" w:rsidR="00DE1190" w:rsidRPr="000457A9" w:rsidRDefault="00DE1190" w:rsidP="004C28F6">
            <w:pPr>
              <w:pStyle w:val="Default"/>
              <w:numPr>
                <w:ilvl w:val="0"/>
                <w:numId w:val="23"/>
              </w:numPr>
              <w:jc w:val="both"/>
              <w:rPr>
                <w:rFonts w:asciiTheme="minorHAnsi" w:hAnsiTheme="minorHAnsi"/>
                <w:color w:val="auto"/>
                <w:sz w:val="22"/>
                <w:szCs w:val="22"/>
              </w:rPr>
            </w:pPr>
            <w:r w:rsidRPr="000457A9">
              <w:rPr>
                <w:rFonts w:asciiTheme="minorHAnsi" w:hAnsiTheme="minorHAnsi"/>
                <w:color w:val="auto"/>
                <w:sz w:val="22"/>
                <w:szCs w:val="22"/>
              </w:rPr>
              <w:t xml:space="preserve">Pay special attention to Modular budgets </w:t>
            </w:r>
            <w:r w:rsidR="00E33CE6">
              <w:rPr>
                <w:rFonts w:asciiTheme="minorHAnsi" w:hAnsiTheme="minorHAnsi"/>
                <w:color w:val="auto"/>
                <w:sz w:val="22"/>
                <w:szCs w:val="22"/>
              </w:rPr>
              <w:t xml:space="preserve">and any forthcoming </w:t>
            </w:r>
            <w:r w:rsidRPr="000457A9">
              <w:rPr>
                <w:rFonts w:asciiTheme="minorHAnsi" w:hAnsiTheme="minorHAnsi"/>
                <w:color w:val="auto"/>
                <w:sz w:val="22"/>
                <w:szCs w:val="22"/>
              </w:rPr>
              <w:t xml:space="preserve">guidance </w:t>
            </w:r>
            <w:r w:rsidR="00E33CE6">
              <w:rPr>
                <w:rFonts w:asciiTheme="minorHAnsi" w:hAnsiTheme="minorHAnsi"/>
                <w:color w:val="auto"/>
                <w:sz w:val="22"/>
                <w:szCs w:val="22"/>
              </w:rPr>
              <w:t>specific to the UG.</w:t>
            </w:r>
          </w:p>
          <w:p w14:paraId="6451E7FB" w14:textId="6A11A544" w:rsidR="00DE1190" w:rsidRPr="000457A9" w:rsidRDefault="00DE1190" w:rsidP="004C28F6">
            <w:pPr>
              <w:pStyle w:val="Default"/>
              <w:numPr>
                <w:ilvl w:val="0"/>
                <w:numId w:val="23"/>
              </w:numPr>
              <w:jc w:val="both"/>
              <w:rPr>
                <w:rFonts w:asciiTheme="minorHAnsi" w:hAnsiTheme="minorHAnsi"/>
                <w:color w:val="auto"/>
                <w:sz w:val="22"/>
                <w:szCs w:val="22"/>
              </w:rPr>
            </w:pPr>
            <w:r w:rsidRPr="000457A9">
              <w:rPr>
                <w:rFonts w:asciiTheme="minorHAnsi" w:hAnsiTheme="minorHAnsi"/>
                <w:color w:val="auto"/>
                <w:sz w:val="22"/>
                <w:szCs w:val="22"/>
              </w:rPr>
              <w:t xml:space="preserve">Pay special attention to prior </w:t>
            </w:r>
            <w:r w:rsidR="001A4799" w:rsidRPr="000457A9">
              <w:rPr>
                <w:rFonts w:asciiTheme="minorHAnsi" w:hAnsiTheme="minorHAnsi"/>
                <w:color w:val="auto"/>
                <w:sz w:val="22"/>
                <w:szCs w:val="22"/>
              </w:rPr>
              <w:t>approvals</w:t>
            </w:r>
            <w:r w:rsidRPr="000457A9">
              <w:rPr>
                <w:rFonts w:asciiTheme="minorHAnsi" w:hAnsiTheme="minorHAnsi"/>
                <w:color w:val="auto"/>
                <w:sz w:val="22"/>
                <w:szCs w:val="22"/>
              </w:rPr>
              <w:t xml:space="preserve"> </w:t>
            </w:r>
            <w:r w:rsidR="001A4799" w:rsidRPr="000457A9">
              <w:rPr>
                <w:rFonts w:asciiTheme="minorHAnsi" w:hAnsiTheme="minorHAnsi"/>
                <w:color w:val="auto"/>
                <w:sz w:val="22"/>
                <w:szCs w:val="22"/>
              </w:rPr>
              <w:t>expectation</w:t>
            </w:r>
            <w:r w:rsidRPr="000457A9">
              <w:rPr>
                <w:rFonts w:asciiTheme="minorHAnsi" w:hAnsiTheme="minorHAnsi"/>
                <w:color w:val="auto"/>
                <w:sz w:val="22"/>
                <w:szCs w:val="22"/>
              </w:rPr>
              <w:t xml:space="preserve"> as </w:t>
            </w:r>
            <w:r w:rsidR="001A4799" w:rsidRPr="000457A9">
              <w:rPr>
                <w:rFonts w:asciiTheme="minorHAnsi" w:hAnsiTheme="minorHAnsi"/>
                <w:color w:val="auto"/>
                <w:sz w:val="22"/>
                <w:szCs w:val="22"/>
              </w:rPr>
              <w:t>specific</w:t>
            </w:r>
            <w:r w:rsidRPr="000457A9">
              <w:rPr>
                <w:rFonts w:asciiTheme="minorHAnsi" w:hAnsiTheme="minorHAnsi"/>
                <w:color w:val="auto"/>
                <w:sz w:val="22"/>
                <w:szCs w:val="22"/>
              </w:rPr>
              <w:t xml:space="preserve"> guidance has yet to be confirmed.</w:t>
            </w:r>
          </w:p>
          <w:p w14:paraId="110BB449" w14:textId="278ED592" w:rsidR="00DE1190" w:rsidRPr="000457A9" w:rsidRDefault="00DE1190" w:rsidP="004C28F6">
            <w:pPr>
              <w:pStyle w:val="Default"/>
              <w:numPr>
                <w:ilvl w:val="0"/>
                <w:numId w:val="23"/>
              </w:numPr>
              <w:jc w:val="both"/>
              <w:rPr>
                <w:rFonts w:asciiTheme="minorHAnsi" w:hAnsiTheme="minorHAnsi"/>
                <w:color w:val="auto"/>
                <w:sz w:val="22"/>
                <w:szCs w:val="22"/>
              </w:rPr>
            </w:pPr>
            <w:r w:rsidRPr="000457A9">
              <w:rPr>
                <w:rFonts w:asciiTheme="minorHAnsi" w:hAnsiTheme="minorHAnsi"/>
                <w:color w:val="auto"/>
                <w:sz w:val="22"/>
                <w:szCs w:val="22"/>
              </w:rPr>
              <w:t>Consider a review of systems and processes to ensure these costs are not included in F&amp;A rate cost pools.</w:t>
            </w:r>
          </w:p>
          <w:p w14:paraId="2DA410CA" w14:textId="7A26FCFF" w:rsidR="00DE1190" w:rsidRPr="000457A9" w:rsidRDefault="00DE1190" w:rsidP="004C28F6">
            <w:pPr>
              <w:pStyle w:val="Default"/>
              <w:numPr>
                <w:ilvl w:val="0"/>
                <w:numId w:val="23"/>
              </w:numPr>
              <w:jc w:val="both"/>
              <w:rPr>
                <w:rFonts w:asciiTheme="minorHAnsi" w:hAnsiTheme="minorHAnsi"/>
                <w:color w:val="auto"/>
                <w:sz w:val="22"/>
                <w:szCs w:val="22"/>
              </w:rPr>
            </w:pPr>
            <w:r w:rsidRPr="000457A9">
              <w:rPr>
                <w:sz w:val="22"/>
                <w:szCs w:val="22"/>
              </w:rPr>
              <w:t>Pay close attention to new developments related to updating the DS-2. This issue is unsettled and more c</w:t>
            </w:r>
            <w:r w:rsidR="0056466D">
              <w:rPr>
                <w:sz w:val="22"/>
                <w:szCs w:val="22"/>
              </w:rPr>
              <w:t>larification should be provided</w:t>
            </w:r>
            <w:r w:rsidRPr="000457A9">
              <w:rPr>
                <w:sz w:val="22"/>
                <w:szCs w:val="22"/>
              </w:rPr>
              <w:t xml:space="preserve"> shortly</w:t>
            </w:r>
            <w:r w:rsidRPr="000457A9">
              <w:rPr>
                <w:rFonts w:asciiTheme="minorHAnsi" w:hAnsiTheme="minorHAnsi"/>
                <w:sz w:val="22"/>
                <w:szCs w:val="22"/>
              </w:rPr>
              <w:t>.</w:t>
            </w:r>
          </w:p>
          <w:p w14:paraId="24AC43BF" w14:textId="744A4AD9" w:rsidR="007D1DEE" w:rsidRPr="00744180" w:rsidRDefault="007D1DEE" w:rsidP="00DE1190">
            <w:pPr>
              <w:pStyle w:val="Default"/>
              <w:jc w:val="both"/>
              <w:rPr>
                <w:rFonts w:asciiTheme="minorHAnsi" w:hAnsiTheme="minorHAnsi"/>
                <w:bCs/>
                <w:sz w:val="22"/>
                <w:szCs w:val="22"/>
              </w:rPr>
            </w:pPr>
          </w:p>
        </w:tc>
      </w:tr>
      <w:tr w:rsidR="00C24875" w:rsidRPr="004A46A7" w14:paraId="1D12865D" w14:textId="77777777" w:rsidTr="000D538B">
        <w:trPr>
          <w:trHeight w:val="432"/>
        </w:trPr>
        <w:tc>
          <w:tcPr>
            <w:tcW w:w="518" w:type="dxa"/>
          </w:tcPr>
          <w:p w14:paraId="13B60BC3" w14:textId="353D6240" w:rsidR="00C24875" w:rsidRDefault="00C24875" w:rsidP="009F48BA">
            <w:pPr>
              <w:pStyle w:val="PlainText"/>
              <w:jc w:val="center"/>
              <w:rPr>
                <w:rFonts w:asciiTheme="minorHAnsi" w:hAnsiTheme="minorHAnsi"/>
                <w:b/>
                <w:bCs/>
                <w:sz w:val="22"/>
                <w:szCs w:val="22"/>
              </w:rPr>
            </w:pPr>
            <w:r>
              <w:rPr>
                <w:rFonts w:asciiTheme="minorHAnsi" w:hAnsiTheme="minorHAnsi"/>
                <w:b/>
                <w:sz w:val="22"/>
                <w:szCs w:val="22"/>
              </w:rPr>
              <w:br w:type="page"/>
              <w:t>2</w:t>
            </w:r>
            <w:r w:rsidRPr="00D03BFC">
              <w:rPr>
                <w:rFonts w:asciiTheme="minorHAnsi" w:hAnsiTheme="minorHAnsi" w:cs="Times New Roman"/>
                <w:b/>
                <w:sz w:val="22"/>
                <w:szCs w:val="22"/>
              </w:rPr>
              <w:t>.</w:t>
            </w:r>
          </w:p>
        </w:tc>
        <w:tc>
          <w:tcPr>
            <w:tcW w:w="1872" w:type="dxa"/>
          </w:tcPr>
          <w:p w14:paraId="045FB0DD" w14:textId="77777777" w:rsidR="00C24875" w:rsidRDefault="00C24875"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Compensation and documentation</w:t>
            </w:r>
          </w:p>
          <w:p w14:paraId="6610B2D9" w14:textId="77777777" w:rsidR="00C24875" w:rsidRPr="00DE1190" w:rsidRDefault="00C24875" w:rsidP="00B57FF8">
            <w:pPr>
              <w:pStyle w:val="PlainText"/>
              <w:jc w:val="center"/>
              <w:rPr>
                <w:rFonts w:asciiTheme="minorHAnsi" w:hAnsiTheme="minorHAnsi" w:cs="Times New Roman"/>
                <w:b/>
                <w:i/>
                <w:sz w:val="12"/>
                <w:szCs w:val="12"/>
              </w:rPr>
            </w:pPr>
          </w:p>
          <w:p w14:paraId="29AA2140" w14:textId="77777777" w:rsidR="00C24875" w:rsidRPr="00DE1190" w:rsidRDefault="00C24875" w:rsidP="00B57FF8">
            <w:pPr>
              <w:pStyle w:val="PlainText"/>
              <w:jc w:val="center"/>
              <w:rPr>
                <w:rFonts w:asciiTheme="minorHAnsi" w:hAnsiTheme="minorHAnsi" w:cs="Times New Roman"/>
                <w:b/>
                <w:i/>
                <w:sz w:val="22"/>
                <w:szCs w:val="22"/>
              </w:rPr>
            </w:pPr>
            <w:r>
              <w:rPr>
                <w:rFonts w:asciiTheme="minorHAnsi" w:hAnsiTheme="minorHAnsi" w:cs="Times New Roman"/>
                <w:b/>
                <w:i/>
                <w:sz w:val="22"/>
                <w:szCs w:val="22"/>
              </w:rPr>
              <w:t>(</w:t>
            </w:r>
            <w:r w:rsidRPr="00DE1190">
              <w:rPr>
                <w:rFonts w:asciiTheme="minorHAnsi" w:hAnsiTheme="minorHAnsi" w:cs="Times New Roman"/>
                <w:b/>
                <w:i/>
                <w:sz w:val="22"/>
                <w:szCs w:val="22"/>
              </w:rPr>
              <w:t>formerly effort reporting)</w:t>
            </w:r>
          </w:p>
          <w:p w14:paraId="7ECA55BC" w14:textId="77777777" w:rsidR="00C24875" w:rsidRPr="00DE1190" w:rsidRDefault="00C24875" w:rsidP="00B57FF8">
            <w:pPr>
              <w:pStyle w:val="PlainText"/>
              <w:jc w:val="center"/>
              <w:rPr>
                <w:rFonts w:asciiTheme="minorHAnsi" w:hAnsiTheme="minorHAnsi" w:cs="Times New Roman"/>
                <w:b/>
                <w:i/>
                <w:sz w:val="12"/>
                <w:szCs w:val="12"/>
              </w:rPr>
            </w:pPr>
          </w:p>
          <w:p w14:paraId="49EDEB64" w14:textId="3348040F" w:rsidR="00C24875" w:rsidRDefault="00C24875" w:rsidP="009F48BA">
            <w:pPr>
              <w:jc w:val="center"/>
              <w:rPr>
                <w:rFonts w:asciiTheme="minorHAnsi" w:eastAsia="Calibri" w:hAnsiTheme="minorHAnsi" w:cs="Calibri"/>
                <w:bCs/>
                <w:i/>
                <w:iCs/>
                <w:sz w:val="22"/>
                <w:szCs w:val="22"/>
              </w:rPr>
            </w:pPr>
            <w:r w:rsidRPr="00DE1190">
              <w:rPr>
                <w:rFonts w:asciiTheme="minorHAnsi" w:hAnsiTheme="minorHAnsi"/>
                <w:i/>
                <w:sz w:val="22"/>
                <w:szCs w:val="22"/>
              </w:rPr>
              <w:t>(200.430)</w:t>
            </w:r>
          </w:p>
        </w:tc>
        <w:tc>
          <w:tcPr>
            <w:tcW w:w="12283" w:type="dxa"/>
          </w:tcPr>
          <w:p w14:paraId="6CD0898A" w14:textId="77777777" w:rsidR="00C24875" w:rsidRDefault="00C24875" w:rsidP="00C24875">
            <w:pPr>
              <w:pStyle w:val="TableContents"/>
              <w:jc w:val="both"/>
              <w:rPr>
                <w:rFonts w:ascii="Calibri" w:eastAsia="TrebuchetMS" w:hAnsi="Calibri" w:cs="TrebuchetMS"/>
                <w:kern w:val="0"/>
                <w:sz w:val="22"/>
                <w:szCs w:val="22"/>
              </w:rPr>
            </w:pPr>
            <w:r>
              <w:rPr>
                <w:rFonts w:ascii="Calibri" w:eastAsia="TrebuchetMS" w:hAnsi="Calibri" w:cs="TrebuchetMS"/>
                <w:kern w:val="0"/>
                <w:sz w:val="22"/>
                <w:szCs w:val="22"/>
              </w:rPr>
              <w:t>Review this section carefully and determine the system of records necessary to address the requirements, if not already doing so.</w:t>
            </w:r>
          </w:p>
          <w:p w14:paraId="3249121E" w14:textId="77777777" w:rsidR="00023D76" w:rsidRPr="00122E50" w:rsidRDefault="00023D76" w:rsidP="00C24875">
            <w:pPr>
              <w:pStyle w:val="TableContents"/>
              <w:jc w:val="both"/>
              <w:rPr>
                <w:rFonts w:ascii="Calibri" w:eastAsia="TrebuchetMS" w:hAnsi="Calibri" w:cs="TrebuchetMS"/>
                <w:kern w:val="0"/>
                <w:sz w:val="12"/>
                <w:szCs w:val="12"/>
              </w:rPr>
            </w:pPr>
          </w:p>
          <w:p w14:paraId="52465DA9" w14:textId="37643196" w:rsidR="00C24875" w:rsidRDefault="00937D34" w:rsidP="00C24875">
            <w:pPr>
              <w:pStyle w:val="TableContents"/>
              <w:jc w:val="both"/>
              <w:rPr>
                <w:rFonts w:ascii="Calibri" w:eastAsia="TrebuchetMS" w:hAnsi="Calibri" w:cs="TrebuchetMS"/>
                <w:kern w:val="0"/>
                <w:sz w:val="22"/>
                <w:szCs w:val="22"/>
              </w:rPr>
            </w:pPr>
            <w:r>
              <w:rPr>
                <w:rFonts w:ascii="Calibri" w:eastAsia="TrebuchetMS" w:hAnsi="Calibri" w:cs="TrebuchetMS"/>
                <w:kern w:val="0"/>
                <w:sz w:val="22"/>
                <w:szCs w:val="22"/>
              </w:rPr>
              <w:t>200.430</w:t>
            </w:r>
            <w:r w:rsidR="00C24875">
              <w:rPr>
                <w:rFonts w:ascii="Calibri" w:eastAsia="TrebuchetMS" w:hAnsi="Calibri" w:cs="TrebuchetMS"/>
                <w:kern w:val="0"/>
                <w:sz w:val="22"/>
                <w:szCs w:val="22"/>
              </w:rPr>
              <w:t>(i), Standards for Documentation, changes the emphasis of documenting salary charges to federal awards from the three examples in A-21 (which have been eliminated in the Uniform Guidance) to a system that is premised on strong internal controls. There is</w:t>
            </w:r>
            <w:r>
              <w:rPr>
                <w:rFonts w:ascii="Calibri" w:eastAsia="TrebuchetMS" w:hAnsi="Calibri" w:cs="TrebuchetMS"/>
                <w:kern w:val="0"/>
                <w:sz w:val="22"/>
                <w:szCs w:val="22"/>
              </w:rPr>
              <w:t xml:space="preserve"> no reference to “certification”,</w:t>
            </w:r>
            <w:r w:rsidR="00C24875">
              <w:rPr>
                <w:rFonts w:ascii="Calibri" w:eastAsia="TrebuchetMS" w:hAnsi="Calibri" w:cs="TrebuchetMS"/>
                <w:kern w:val="0"/>
                <w:sz w:val="22"/>
                <w:szCs w:val="22"/>
              </w:rPr>
              <w:t xml:space="preserve"> which suggests that a</w:t>
            </w:r>
            <w:r>
              <w:rPr>
                <w:rFonts w:ascii="Calibri" w:eastAsia="TrebuchetMS" w:hAnsi="Calibri" w:cs="TrebuchetMS"/>
                <w:kern w:val="0"/>
                <w:sz w:val="22"/>
                <w:szCs w:val="22"/>
              </w:rPr>
              <w:t xml:space="preserve"> traditional </w:t>
            </w:r>
            <w:r w:rsidR="00C24875">
              <w:rPr>
                <w:rFonts w:ascii="Calibri" w:eastAsia="TrebuchetMS" w:hAnsi="Calibri" w:cs="TrebuchetMS"/>
                <w:kern w:val="0"/>
                <w:sz w:val="22"/>
                <w:szCs w:val="22"/>
              </w:rPr>
              <w:t xml:space="preserve">effort reporting system may not be required and that the institution’s official payroll system </w:t>
            </w:r>
            <w:r w:rsidR="009C56D1">
              <w:rPr>
                <w:rFonts w:ascii="Calibri" w:eastAsia="TrebuchetMS" w:hAnsi="Calibri" w:cs="TrebuchetMS"/>
                <w:kern w:val="0"/>
                <w:sz w:val="22"/>
                <w:szCs w:val="22"/>
              </w:rPr>
              <w:t xml:space="preserve">may </w:t>
            </w:r>
            <w:r w:rsidR="00C24875">
              <w:rPr>
                <w:rFonts w:ascii="Calibri" w:eastAsia="TrebuchetMS" w:hAnsi="Calibri" w:cs="TrebuchetMS"/>
                <w:kern w:val="0"/>
                <w:sz w:val="22"/>
                <w:szCs w:val="22"/>
              </w:rPr>
              <w:t>be the basis for confirming payroll charges to federal awards. Issues, such as</w:t>
            </w:r>
            <w:r w:rsidR="009C56D1">
              <w:rPr>
                <w:rFonts w:ascii="Calibri" w:eastAsia="TrebuchetMS" w:hAnsi="Calibri" w:cs="TrebuchetMS"/>
                <w:kern w:val="0"/>
                <w:sz w:val="22"/>
                <w:szCs w:val="22"/>
              </w:rPr>
              <w:t xml:space="preserve"> the characteristics of</w:t>
            </w:r>
            <w:r w:rsidR="00C24875">
              <w:rPr>
                <w:rFonts w:ascii="Calibri" w:eastAsia="TrebuchetMS" w:hAnsi="Calibri" w:cs="TrebuchetMS"/>
                <w:kern w:val="0"/>
                <w:sz w:val="22"/>
                <w:szCs w:val="22"/>
              </w:rPr>
              <w:t xml:space="preserve"> an auditable “system of internal control which provides reasonable assurance”</w:t>
            </w:r>
            <w:r w:rsidR="009C56D1">
              <w:rPr>
                <w:rFonts w:ascii="Calibri" w:eastAsia="TrebuchetMS" w:hAnsi="Calibri" w:cs="TrebuchetMS"/>
                <w:kern w:val="0"/>
                <w:sz w:val="22"/>
                <w:szCs w:val="22"/>
              </w:rPr>
              <w:t>,</w:t>
            </w:r>
            <w:r w:rsidR="00C24875">
              <w:rPr>
                <w:rFonts w:ascii="Calibri" w:eastAsia="TrebuchetMS" w:hAnsi="Calibri" w:cs="TrebuchetMS"/>
                <w:kern w:val="0"/>
                <w:sz w:val="22"/>
                <w:szCs w:val="22"/>
              </w:rPr>
              <w:t xml:space="preserve"> </w:t>
            </w:r>
            <w:r w:rsidR="009C56D1">
              <w:rPr>
                <w:rFonts w:ascii="Calibri" w:eastAsia="TrebuchetMS" w:hAnsi="Calibri" w:cs="TrebuchetMS"/>
                <w:kern w:val="0"/>
                <w:sz w:val="22"/>
                <w:szCs w:val="22"/>
              </w:rPr>
              <w:t>require further</w:t>
            </w:r>
            <w:r w:rsidR="00C24875">
              <w:rPr>
                <w:rFonts w:ascii="Calibri" w:eastAsia="TrebuchetMS" w:hAnsi="Calibri" w:cs="TrebuchetMS"/>
                <w:kern w:val="0"/>
                <w:sz w:val="22"/>
                <w:szCs w:val="22"/>
              </w:rPr>
              <w:t xml:space="preserve"> analysis. COGR will work towards developing additional analysis to address effective institutional practices and methodologies that will be in compliance with the new requirements for documenting salary charges to federal awards. Some analysis </w:t>
            </w:r>
            <w:r>
              <w:rPr>
                <w:rFonts w:ascii="Calibri" w:eastAsia="TrebuchetMS" w:hAnsi="Calibri" w:cs="TrebuchetMS"/>
                <w:kern w:val="0"/>
                <w:sz w:val="22"/>
                <w:szCs w:val="22"/>
              </w:rPr>
              <w:t xml:space="preserve">may utilize, if appropriate, </w:t>
            </w:r>
            <w:r w:rsidR="00C24875">
              <w:rPr>
                <w:rFonts w:ascii="Calibri" w:eastAsia="TrebuchetMS" w:hAnsi="Calibri" w:cs="TrebuchetMS"/>
                <w:kern w:val="0"/>
                <w:sz w:val="22"/>
                <w:szCs w:val="22"/>
              </w:rPr>
              <w:t>results of audits based on the FDP demonstration projects on payroll confirmation.</w:t>
            </w:r>
          </w:p>
          <w:p w14:paraId="70840930" w14:textId="77777777" w:rsidR="00C24875" w:rsidRPr="00122E50" w:rsidRDefault="00C24875" w:rsidP="00C24875">
            <w:pPr>
              <w:pStyle w:val="TableContents"/>
              <w:jc w:val="both"/>
              <w:rPr>
                <w:rFonts w:ascii="Calibri" w:eastAsia="TrebuchetMS" w:hAnsi="Calibri" w:cs="TrebuchetMS"/>
                <w:kern w:val="0"/>
                <w:sz w:val="12"/>
                <w:szCs w:val="12"/>
              </w:rPr>
            </w:pPr>
          </w:p>
          <w:p w14:paraId="7895D465" w14:textId="35103FCA" w:rsidR="00C24875" w:rsidRDefault="00937D34" w:rsidP="00C24875">
            <w:pPr>
              <w:pStyle w:val="TableContents"/>
              <w:jc w:val="both"/>
              <w:rPr>
                <w:rFonts w:ascii="Calibri" w:eastAsia="TrebuchetMS" w:hAnsi="Calibri" w:cs="TrebuchetMS"/>
                <w:kern w:val="0"/>
                <w:sz w:val="22"/>
                <w:szCs w:val="22"/>
              </w:rPr>
            </w:pPr>
            <w:r>
              <w:rPr>
                <w:rFonts w:ascii="Calibri" w:eastAsia="TrebuchetMS" w:hAnsi="Calibri" w:cs="TrebuchetMS"/>
                <w:kern w:val="0"/>
                <w:sz w:val="22"/>
                <w:szCs w:val="22"/>
              </w:rPr>
              <w:lastRenderedPageBreak/>
              <w:t>200.430</w:t>
            </w:r>
            <w:r w:rsidR="00C24875">
              <w:rPr>
                <w:rFonts w:ascii="Calibri" w:eastAsia="TrebuchetMS" w:hAnsi="Calibri" w:cs="TrebuchetMS"/>
                <w:kern w:val="0"/>
                <w:sz w:val="22"/>
                <w:szCs w:val="22"/>
              </w:rPr>
              <w:t>(h) is directed to IHE’s.</w:t>
            </w:r>
            <w:r>
              <w:rPr>
                <w:rFonts w:ascii="Calibri" w:eastAsia="TrebuchetMS" w:hAnsi="Calibri" w:cs="TrebuchetMS"/>
                <w:kern w:val="0"/>
                <w:sz w:val="22"/>
                <w:szCs w:val="22"/>
              </w:rPr>
              <w:t xml:space="preserve"> </w:t>
            </w:r>
            <w:r w:rsidR="00C24875">
              <w:rPr>
                <w:rFonts w:ascii="Calibri" w:eastAsia="TrebuchetMS" w:hAnsi="Calibri" w:cs="TrebuchetMS"/>
                <w:kern w:val="0"/>
                <w:sz w:val="22"/>
                <w:szCs w:val="22"/>
              </w:rPr>
              <w:t xml:space="preserve">200.430(h)(2) defines </w:t>
            </w:r>
            <w:r w:rsidR="009C56D1">
              <w:rPr>
                <w:rFonts w:ascii="Calibri" w:eastAsia="TrebuchetMS" w:hAnsi="Calibri" w:cs="TrebuchetMS"/>
                <w:kern w:val="0"/>
                <w:sz w:val="22"/>
                <w:szCs w:val="22"/>
              </w:rPr>
              <w:t xml:space="preserve">Institutional Base Salary, </w:t>
            </w:r>
            <w:r w:rsidR="00C24875">
              <w:rPr>
                <w:rFonts w:ascii="Calibri" w:eastAsia="TrebuchetMS" w:hAnsi="Calibri" w:cs="TrebuchetMS"/>
                <w:kern w:val="0"/>
                <w:sz w:val="22"/>
                <w:szCs w:val="22"/>
              </w:rPr>
              <w:t>IBS</w:t>
            </w:r>
            <w:r w:rsidR="009C56D1">
              <w:rPr>
                <w:rFonts w:ascii="Calibri" w:eastAsia="TrebuchetMS" w:hAnsi="Calibri" w:cs="TrebuchetMS"/>
                <w:kern w:val="0"/>
                <w:sz w:val="22"/>
                <w:szCs w:val="22"/>
              </w:rPr>
              <w:t>,</w:t>
            </w:r>
            <w:r w:rsidR="00C24875">
              <w:rPr>
                <w:rFonts w:ascii="Calibri" w:eastAsia="TrebuchetMS" w:hAnsi="Calibri" w:cs="TrebuchetMS"/>
                <w:kern w:val="0"/>
                <w:sz w:val="22"/>
                <w:szCs w:val="22"/>
              </w:rPr>
              <w:t xml:space="preserve"> as “the annual compensation paid by an IHE for an individual’s appointment, whether that individual’s time is spent on research, instruction, administration or other activities.” COGR understands this language to include the total of the individual's multiple appointment(s) that comprise IBS with</w:t>
            </w:r>
            <w:r w:rsidR="00AE6C87">
              <w:rPr>
                <w:rFonts w:ascii="Calibri" w:eastAsia="TrebuchetMS" w:hAnsi="Calibri" w:cs="TrebuchetMS"/>
                <w:kern w:val="0"/>
                <w:sz w:val="22"/>
                <w:szCs w:val="22"/>
              </w:rPr>
              <w:t>in</w:t>
            </w:r>
            <w:r w:rsidR="00C24875">
              <w:rPr>
                <w:rFonts w:ascii="Calibri" w:eastAsia="TrebuchetMS" w:hAnsi="Calibri" w:cs="TrebuchetMS"/>
                <w:kern w:val="0"/>
                <w:sz w:val="22"/>
                <w:szCs w:val="22"/>
              </w:rPr>
              <w:t xml:space="preserve"> the institution.</w:t>
            </w:r>
            <w:r>
              <w:rPr>
                <w:rFonts w:ascii="Calibri" w:eastAsia="TrebuchetMS" w:hAnsi="Calibri" w:cs="TrebuchetMS"/>
                <w:kern w:val="0"/>
                <w:sz w:val="22"/>
                <w:szCs w:val="22"/>
              </w:rPr>
              <w:t xml:space="preserve"> Again, COGR will work towards developing additional analysis on this section.</w:t>
            </w:r>
          </w:p>
          <w:p w14:paraId="27020DF2" w14:textId="77777777" w:rsidR="00C24875" w:rsidRPr="00122E50" w:rsidRDefault="00C24875" w:rsidP="00C24875">
            <w:pPr>
              <w:pStyle w:val="TableContents"/>
              <w:jc w:val="both"/>
              <w:rPr>
                <w:rFonts w:ascii="Calibri" w:eastAsia="TrebuchetMS" w:hAnsi="Calibri" w:cs="TrebuchetMS"/>
                <w:kern w:val="0"/>
                <w:sz w:val="12"/>
                <w:szCs w:val="12"/>
              </w:rPr>
            </w:pPr>
          </w:p>
          <w:p w14:paraId="14DDBC15" w14:textId="22010292" w:rsidR="00C24875" w:rsidRDefault="00C24875" w:rsidP="00C24875">
            <w:pPr>
              <w:pStyle w:val="TableContents"/>
              <w:jc w:val="both"/>
              <w:rPr>
                <w:rFonts w:ascii="Calibri" w:eastAsia="TrebuchetMS" w:hAnsi="Calibri" w:cs="TrebuchetMS"/>
                <w:kern w:val="0"/>
                <w:sz w:val="22"/>
                <w:szCs w:val="22"/>
              </w:rPr>
            </w:pPr>
            <w:r>
              <w:rPr>
                <w:rFonts w:ascii="Calibri" w:eastAsia="TrebuchetMS" w:hAnsi="Calibri" w:cs="TrebuchetMS"/>
                <w:kern w:val="0"/>
                <w:sz w:val="22"/>
                <w:szCs w:val="22"/>
              </w:rPr>
              <w:t xml:space="preserve">FAQ .430-1 addresses the role of the DS-2 in the case of changes to time and effort systems. However, additional clarification may be </w:t>
            </w:r>
            <w:r w:rsidR="00937D34">
              <w:rPr>
                <w:rFonts w:ascii="Calibri" w:eastAsia="TrebuchetMS" w:hAnsi="Calibri" w:cs="TrebuchetMS"/>
                <w:kern w:val="0"/>
                <w:sz w:val="22"/>
                <w:szCs w:val="22"/>
              </w:rPr>
              <w:t xml:space="preserve">necessary and we recommend paying </w:t>
            </w:r>
            <w:r w:rsidR="00937D34">
              <w:rPr>
                <w:rFonts w:ascii="Calibri" w:hAnsi="Calibri"/>
                <w:sz w:val="22"/>
                <w:szCs w:val="22"/>
              </w:rPr>
              <w:t>close attention to new developments related to updating the DS-2.</w:t>
            </w:r>
          </w:p>
          <w:p w14:paraId="6CA99726" w14:textId="77777777" w:rsidR="00023D76" w:rsidRDefault="00023D76" w:rsidP="00C24875">
            <w:pPr>
              <w:pStyle w:val="TableContents"/>
              <w:jc w:val="both"/>
              <w:rPr>
                <w:rFonts w:ascii="Calibri" w:eastAsia="TrebuchetMS" w:hAnsi="Calibri" w:cs="TrebuchetMS"/>
                <w:kern w:val="0"/>
                <w:sz w:val="22"/>
                <w:szCs w:val="22"/>
              </w:rPr>
            </w:pPr>
          </w:p>
          <w:p w14:paraId="60E17135" w14:textId="608E78B9" w:rsidR="00023D76" w:rsidRPr="006D640C" w:rsidRDefault="00023D76" w:rsidP="00023D76">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sidR="00122E50">
              <w:rPr>
                <w:rFonts w:asciiTheme="minorHAnsi" w:hAnsiTheme="minorHAnsi"/>
                <w:b/>
                <w:i/>
                <w:sz w:val="22"/>
                <w:szCs w:val="22"/>
              </w:rPr>
              <w:t>TO</w:t>
            </w:r>
            <w:r w:rsidRPr="006D640C">
              <w:rPr>
                <w:rFonts w:asciiTheme="minorHAnsi" w:hAnsiTheme="minorHAnsi"/>
                <w:b/>
                <w:i/>
                <w:sz w:val="22"/>
                <w:szCs w:val="22"/>
              </w:rPr>
              <w:t xml:space="preserve"> CONSIDER:</w:t>
            </w:r>
          </w:p>
          <w:p w14:paraId="43C0D851" w14:textId="77777777" w:rsidR="00023D76" w:rsidRPr="006D640C" w:rsidRDefault="00023D76" w:rsidP="00023D76">
            <w:pPr>
              <w:jc w:val="both"/>
              <w:rPr>
                <w:rFonts w:ascii="Calibri" w:hAnsi="Calibri"/>
                <w:b w:val="0"/>
                <w:sz w:val="12"/>
                <w:szCs w:val="12"/>
              </w:rPr>
            </w:pPr>
          </w:p>
          <w:p w14:paraId="58378200" w14:textId="77777777" w:rsidR="00023D76" w:rsidRPr="00122E50" w:rsidRDefault="00023D76" w:rsidP="004C28F6">
            <w:pPr>
              <w:pStyle w:val="PlainText"/>
              <w:numPr>
                <w:ilvl w:val="0"/>
                <w:numId w:val="24"/>
              </w:numPr>
              <w:jc w:val="both"/>
              <w:rPr>
                <w:rFonts w:asciiTheme="minorHAnsi" w:hAnsiTheme="minorHAnsi"/>
                <w:sz w:val="22"/>
                <w:szCs w:val="22"/>
              </w:rPr>
            </w:pPr>
            <w:r w:rsidRPr="006D640C">
              <w:rPr>
                <w:rFonts w:ascii="Calibri" w:hAnsi="Calibri"/>
                <w:sz w:val="22"/>
                <w:szCs w:val="22"/>
              </w:rPr>
              <w:t xml:space="preserve">Review new standards and begin consideration of revisions to policies and </w:t>
            </w:r>
            <w:r w:rsidRPr="00122E50">
              <w:rPr>
                <w:rFonts w:asciiTheme="minorHAnsi" w:hAnsiTheme="minorHAnsi"/>
                <w:sz w:val="22"/>
                <w:szCs w:val="22"/>
              </w:rPr>
              <w:t>practices.</w:t>
            </w:r>
          </w:p>
          <w:p w14:paraId="54BA4DE3" w14:textId="5195A7A5" w:rsidR="00122E50" w:rsidRPr="00122E50" w:rsidRDefault="00122E50" w:rsidP="004C28F6">
            <w:pPr>
              <w:pStyle w:val="PlainText"/>
              <w:numPr>
                <w:ilvl w:val="0"/>
                <w:numId w:val="24"/>
              </w:numPr>
              <w:jc w:val="both"/>
              <w:rPr>
                <w:rFonts w:asciiTheme="minorHAnsi" w:hAnsiTheme="minorHAnsi"/>
                <w:sz w:val="22"/>
                <w:szCs w:val="22"/>
              </w:rPr>
            </w:pPr>
            <w:r w:rsidRPr="00122E50">
              <w:rPr>
                <w:rFonts w:asciiTheme="minorHAnsi" w:hAnsiTheme="minorHAnsi"/>
                <w:sz w:val="22"/>
                <w:szCs w:val="22"/>
              </w:rPr>
              <w:t>If changes are being considered (e.g., frequency, certification language, etc.), Pay close attention to new developments related to updating the DS-2. This issue is unsettled and more clarification should be provided shortly</w:t>
            </w:r>
            <w:r>
              <w:rPr>
                <w:rFonts w:asciiTheme="minorHAnsi" w:hAnsiTheme="minorHAnsi"/>
                <w:sz w:val="22"/>
                <w:szCs w:val="22"/>
              </w:rPr>
              <w:t>.</w:t>
            </w:r>
          </w:p>
          <w:p w14:paraId="177124AE" w14:textId="01F4061E" w:rsidR="00023D76" w:rsidRPr="00023D76" w:rsidRDefault="00023D76" w:rsidP="004C28F6">
            <w:pPr>
              <w:pStyle w:val="PlainText"/>
              <w:numPr>
                <w:ilvl w:val="0"/>
                <w:numId w:val="24"/>
              </w:numPr>
              <w:jc w:val="both"/>
              <w:rPr>
                <w:rFonts w:ascii="Calibri" w:hAnsi="Calibri"/>
                <w:sz w:val="22"/>
                <w:szCs w:val="22"/>
              </w:rPr>
            </w:pPr>
            <w:r w:rsidRPr="00122E50">
              <w:rPr>
                <w:rFonts w:asciiTheme="minorHAnsi" w:hAnsiTheme="minorHAnsi"/>
                <w:sz w:val="22"/>
                <w:szCs w:val="22"/>
              </w:rPr>
              <w:t>Pay close attention to new developments and work being conducted by COGR</w:t>
            </w:r>
            <w:r w:rsidR="002641E2">
              <w:rPr>
                <w:rFonts w:asciiTheme="minorHAnsi" w:hAnsiTheme="minorHAnsi"/>
                <w:sz w:val="22"/>
                <w:szCs w:val="22"/>
              </w:rPr>
              <w:t xml:space="preserve">, </w:t>
            </w:r>
            <w:r w:rsidRPr="00023D76">
              <w:rPr>
                <w:rFonts w:ascii="Calibri" w:hAnsi="Calibri"/>
                <w:sz w:val="22"/>
                <w:szCs w:val="22"/>
              </w:rPr>
              <w:t>the FDP</w:t>
            </w:r>
            <w:r w:rsidR="002641E2">
              <w:rPr>
                <w:rFonts w:ascii="Calibri" w:hAnsi="Calibri"/>
                <w:sz w:val="22"/>
                <w:szCs w:val="22"/>
              </w:rPr>
              <w:t>, and other higher education leaders</w:t>
            </w:r>
            <w:r w:rsidRPr="00023D76">
              <w:rPr>
                <w:rFonts w:ascii="Calibri" w:hAnsi="Calibri"/>
                <w:sz w:val="22"/>
                <w:szCs w:val="22"/>
              </w:rPr>
              <w:t xml:space="preserve">. </w:t>
            </w:r>
            <w:r w:rsidRPr="00023D76">
              <w:rPr>
                <w:rFonts w:ascii="Calibri" w:hAnsi="Calibri"/>
                <w:b/>
                <w:sz w:val="22"/>
                <w:szCs w:val="22"/>
                <w:u w:val="single"/>
              </w:rPr>
              <w:t>COGR expects to provide additional guidance in 201</w:t>
            </w:r>
            <w:r>
              <w:rPr>
                <w:rFonts w:ascii="Calibri" w:hAnsi="Calibri"/>
                <w:b/>
                <w:sz w:val="22"/>
                <w:szCs w:val="22"/>
                <w:u w:val="single"/>
              </w:rPr>
              <w:t>5.</w:t>
            </w:r>
          </w:p>
          <w:p w14:paraId="476C33F8" w14:textId="77777777" w:rsidR="00C24875" w:rsidRPr="00744180" w:rsidRDefault="00C24875" w:rsidP="00C24875">
            <w:pPr>
              <w:pStyle w:val="Default"/>
              <w:jc w:val="both"/>
              <w:rPr>
                <w:rFonts w:asciiTheme="minorHAnsi" w:hAnsiTheme="minorHAnsi"/>
                <w:sz w:val="22"/>
                <w:szCs w:val="22"/>
              </w:rPr>
            </w:pPr>
          </w:p>
        </w:tc>
      </w:tr>
      <w:tr w:rsidR="00C24875" w:rsidRPr="004A46A7" w14:paraId="1E12235E" w14:textId="77777777" w:rsidTr="000D538B">
        <w:trPr>
          <w:trHeight w:val="432"/>
        </w:trPr>
        <w:tc>
          <w:tcPr>
            <w:tcW w:w="518" w:type="dxa"/>
          </w:tcPr>
          <w:p w14:paraId="4C1EB39C" w14:textId="2FCBEAC9" w:rsidR="00C24875" w:rsidRDefault="00C24875" w:rsidP="009F48BA">
            <w:pPr>
              <w:pStyle w:val="PlainText"/>
              <w:jc w:val="center"/>
              <w:rPr>
                <w:rFonts w:asciiTheme="minorHAnsi" w:hAnsiTheme="minorHAnsi"/>
                <w:b/>
                <w:bCs/>
                <w:sz w:val="22"/>
                <w:szCs w:val="22"/>
              </w:rPr>
            </w:pPr>
            <w:r>
              <w:rPr>
                <w:rFonts w:asciiTheme="minorHAnsi" w:hAnsiTheme="minorHAnsi"/>
                <w:b/>
                <w:bCs/>
                <w:sz w:val="22"/>
                <w:szCs w:val="22"/>
              </w:rPr>
              <w:lastRenderedPageBreak/>
              <w:t>3.</w:t>
            </w:r>
          </w:p>
        </w:tc>
        <w:tc>
          <w:tcPr>
            <w:tcW w:w="1872" w:type="dxa"/>
          </w:tcPr>
          <w:p w14:paraId="29386E7B" w14:textId="4E73F8FE" w:rsidR="00C24875" w:rsidRPr="00C24875" w:rsidRDefault="00C24875" w:rsidP="00B57FF8">
            <w:pPr>
              <w:pStyle w:val="PlainText"/>
              <w:jc w:val="center"/>
              <w:rPr>
                <w:rFonts w:asciiTheme="minorHAnsi" w:eastAsia="Calibri" w:hAnsiTheme="minorHAnsi" w:cs="Calibri"/>
                <w:b/>
                <w:bCs/>
                <w:i/>
                <w:iCs/>
                <w:sz w:val="22"/>
                <w:szCs w:val="22"/>
              </w:rPr>
            </w:pPr>
            <w:r w:rsidRPr="00C24875">
              <w:rPr>
                <w:rFonts w:asciiTheme="minorHAnsi" w:eastAsia="Calibri" w:hAnsiTheme="minorHAnsi" w:cs="Calibri"/>
                <w:b/>
                <w:bCs/>
                <w:i/>
                <w:iCs/>
                <w:sz w:val="22"/>
                <w:szCs w:val="22"/>
              </w:rPr>
              <w:t>Executive Compensation</w:t>
            </w:r>
            <w:r w:rsidR="00023D76">
              <w:rPr>
                <w:rFonts w:asciiTheme="minorHAnsi" w:eastAsia="Calibri" w:hAnsiTheme="minorHAnsi" w:cs="Calibri"/>
                <w:b/>
                <w:bCs/>
                <w:i/>
                <w:iCs/>
                <w:sz w:val="22"/>
                <w:szCs w:val="22"/>
              </w:rPr>
              <w:t xml:space="preserve"> limitation</w:t>
            </w:r>
          </w:p>
          <w:p w14:paraId="74F3318F" w14:textId="77777777" w:rsidR="00C24875" w:rsidRPr="00023D76" w:rsidRDefault="00C24875" w:rsidP="00B57FF8">
            <w:pPr>
              <w:pStyle w:val="PlainText"/>
              <w:jc w:val="center"/>
              <w:rPr>
                <w:rFonts w:asciiTheme="minorHAnsi" w:eastAsia="Calibri" w:hAnsiTheme="minorHAnsi" w:cs="Calibri"/>
                <w:b/>
                <w:bCs/>
                <w:i/>
                <w:iCs/>
                <w:sz w:val="12"/>
                <w:szCs w:val="12"/>
              </w:rPr>
            </w:pPr>
          </w:p>
          <w:p w14:paraId="50DD57B0" w14:textId="292E8BB1" w:rsidR="00C24875" w:rsidRDefault="00C24875" w:rsidP="00023D76">
            <w:pPr>
              <w:jc w:val="center"/>
              <w:rPr>
                <w:rFonts w:asciiTheme="minorHAnsi" w:eastAsia="Calibri" w:hAnsiTheme="minorHAnsi" w:cs="Calibri"/>
                <w:bCs/>
                <w:i/>
                <w:iCs/>
                <w:sz w:val="22"/>
                <w:szCs w:val="22"/>
              </w:rPr>
            </w:pPr>
            <w:r w:rsidRPr="00C24875">
              <w:rPr>
                <w:rFonts w:asciiTheme="minorHAnsi" w:hAnsiTheme="minorHAnsi"/>
                <w:bCs/>
                <w:sz w:val="22"/>
                <w:szCs w:val="22"/>
              </w:rPr>
              <w:t>(200.430)</w:t>
            </w:r>
          </w:p>
        </w:tc>
        <w:tc>
          <w:tcPr>
            <w:tcW w:w="12283" w:type="dxa"/>
          </w:tcPr>
          <w:p w14:paraId="2BDE284B" w14:textId="4B9B8812" w:rsidR="00922443" w:rsidRPr="00006D79" w:rsidRDefault="00023D76" w:rsidP="00006D79">
            <w:pPr>
              <w:autoSpaceDE w:val="0"/>
              <w:autoSpaceDN w:val="0"/>
              <w:adjustRightInd w:val="0"/>
              <w:jc w:val="both"/>
              <w:rPr>
                <w:rFonts w:asciiTheme="minorHAnsi" w:hAnsiTheme="minorHAnsi"/>
                <w:b w:val="0"/>
                <w:sz w:val="22"/>
                <w:szCs w:val="22"/>
              </w:rPr>
            </w:pPr>
            <w:r w:rsidRPr="00006D79">
              <w:rPr>
                <w:rFonts w:asciiTheme="minorHAnsi" w:hAnsiTheme="minorHAnsi" w:cs="Courier"/>
                <w:b w:val="0"/>
                <w:sz w:val="22"/>
                <w:szCs w:val="22"/>
              </w:rPr>
              <w:t>200.430(d)(2) states that the allowable compensation for certain employees is subject to a ceiling in accordance with statute. For the amount of the ceiling for cost-reimbursement contracts, the covered compensation subject to the ceiling, the covered employees, and other relevant provisions</w:t>
            </w:r>
            <w:r w:rsidR="00006D79">
              <w:rPr>
                <w:rFonts w:asciiTheme="minorHAnsi" w:hAnsiTheme="minorHAnsi" w:cs="Courier"/>
                <w:b w:val="0"/>
                <w:sz w:val="22"/>
                <w:szCs w:val="22"/>
              </w:rPr>
              <w:t>,</w:t>
            </w:r>
            <w:r w:rsidR="00006D79" w:rsidRPr="00006D79">
              <w:rPr>
                <w:rFonts w:asciiTheme="minorHAnsi" w:hAnsiTheme="minorHAnsi" w:cs="Courier"/>
                <w:b w:val="0"/>
                <w:sz w:val="22"/>
                <w:szCs w:val="22"/>
              </w:rPr>
              <w:t xml:space="preserve"> </w:t>
            </w:r>
            <w:r w:rsidR="00006D79" w:rsidRPr="00006D79">
              <w:rPr>
                <w:rFonts w:asciiTheme="minorHAnsi" w:eastAsiaTheme="minorHAnsi" w:hAnsiTheme="minorHAnsi" w:cs="TT15Ct00"/>
                <w:b w:val="0"/>
                <w:sz w:val="22"/>
                <w:szCs w:val="22"/>
              </w:rPr>
              <w:t>see 10 U.S.C. 2324(e)(1)(P), and 41 U.S.C. 1127 and 4304(a)(16).</w:t>
            </w:r>
            <w:r w:rsidRPr="00006D79">
              <w:rPr>
                <w:rFonts w:asciiTheme="minorHAnsi" w:hAnsiTheme="minorHAnsi" w:cs="Courier"/>
                <w:b w:val="0"/>
                <w:sz w:val="22"/>
                <w:szCs w:val="22"/>
              </w:rPr>
              <w:t xml:space="preserve"> According to </w:t>
            </w:r>
            <w:r w:rsidR="00C24875" w:rsidRPr="00006D79">
              <w:rPr>
                <w:rFonts w:asciiTheme="minorHAnsi" w:hAnsiTheme="minorHAnsi"/>
                <w:b w:val="0"/>
                <w:sz w:val="22"/>
                <w:szCs w:val="22"/>
              </w:rPr>
              <w:t>Public Law 113-67 (effective 12/26/13)</w:t>
            </w:r>
            <w:r w:rsidRPr="00006D79">
              <w:rPr>
                <w:rFonts w:asciiTheme="minorHAnsi" w:hAnsiTheme="minorHAnsi"/>
                <w:b w:val="0"/>
                <w:sz w:val="22"/>
                <w:szCs w:val="22"/>
              </w:rPr>
              <w:t>, the c</w:t>
            </w:r>
            <w:r w:rsidR="00C24875" w:rsidRPr="00006D79">
              <w:rPr>
                <w:rFonts w:asciiTheme="minorHAnsi" w:hAnsiTheme="minorHAnsi"/>
                <w:b w:val="0"/>
                <w:sz w:val="22"/>
                <w:szCs w:val="22"/>
              </w:rPr>
              <w:t xml:space="preserve">ompensation limit (i.e., salary and all benefits) </w:t>
            </w:r>
            <w:r w:rsidRPr="00006D79">
              <w:rPr>
                <w:rFonts w:asciiTheme="minorHAnsi" w:hAnsiTheme="minorHAnsi"/>
                <w:b w:val="0"/>
                <w:sz w:val="22"/>
                <w:szCs w:val="22"/>
              </w:rPr>
              <w:t xml:space="preserve">is set </w:t>
            </w:r>
            <w:r w:rsidR="00C24875" w:rsidRPr="00006D79">
              <w:rPr>
                <w:rFonts w:asciiTheme="minorHAnsi" w:hAnsiTheme="minorHAnsi"/>
                <w:b w:val="0"/>
                <w:sz w:val="22"/>
                <w:szCs w:val="22"/>
              </w:rPr>
              <w:t xml:space="preserve">at ~$487,000 for covered contracts awarded on or after 6/24/14. </w:t>
            </w:r>
            <w:r w:rsidR="00922443" w:rsidRPr="00006D79">
              <w:rPr>
                <w:rFonts w:asciiTheme="minorHAnsi" w:hAnsiTheme="minorHAnsi"/>
                <w:b w:val="0"/>
                <w:sz w:val="22"/>
                <w:szCs w:val="22"/>
              </w:rPr>
              <w:t>FAR 31.2 (cost principles for contracts with commercial organizations) incorporates the applicable USC sections by reference and limits allowable compensation on covered contracts.</w:t>
            </w:r>
          </w:p>
          <w:p w14:paraId="4F478DAB" w14:textId="77777777" w:rsidR="00922443" w:rsidRPr="00006D79" w:rsidRDefault="00922443" w:rsidP="00006D79">
            <w:pPr>
              <w:pStyle w:val="TableContents"/>
              <w:jc w:val="both"/>
              <w:rPr>
                <w:rFonts w:asciiTheme="minorHAnsi" w:eastAsia="TrebuchetMS" w:hAnsiTheme="minorHAnsi" w:cs="TrebuchetMS"/>
                <w:kern w:val="0"/>
                <w:sz w:val="22"/>
                <w:szCs w:val="22"/>
              </w:rPr>
            </w:pPr>
          </w:p>
          <w:p w14:paraId="0712C133" w14:textId="7B45EA53" w:rsidR="00922443" w:rsidRPr="00922443" w:rsidRDefault="0083269B" w:rsidP="00922443">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922443" w:rsidRPr="00922443">
              <w:rPr>
                <w:rFonts w:asciiTheme="minorHAnsi" w:hAnsiTheme="minorHAnsi"/>
                <w:b/>
                <w:i/>
                <w:sz w:val="22"/>
                <w:szCs w:val="22"/>
              </w:rPr>
              <w:t>:</w:t>
            </w:r>
          </w:p>
          <w:p w14:paraId="758A8077" w14:textId="77777777" w:rsidR="00922443" w:rsidRPr="00922443" w:rsidRDefault="00922443" w:rsidP="00922443">
            <w:pPr>
              <w:jc w:val="both"/>
              <w:rPr>
                <w:rFonts w:ascii="Calibri" w:hAnsi="Calibri"/>
                <w:b w:val="0"/>
                <w:sz w:val="12"/>
                <w:szCs w:val="12"/>
              </w:rPr>
            </w:pPr>
          </w:p>
          <w:p w14:paraId="05C58418" w14:textId="77777777" w:rsidR="00922443" w:rsidRPr="00922443" w:rsidRDefault="00922443" w:rsidP="004C28F6">
            <w:pPr>
              <w:pStyle w:val="PlainText"/>
              <w:numPr>
                <w:ilvl w:val="0"/>
                <w:numId w:val="25"/>
              </w:numPr>
              <w:jc w:val="both"/>
              <w:rPr>
                <w:rFonts w:ascii="Calibri" w:hAnsi="Calibri"/>
                <w:sz w:val="22"/>
                <w:szCs w:val="22"/>
              </w:rPr>
            </w:pPr>
            <w:r w:rsidRPr="00922443">
              <w:rPr>
                <w:rFonts w:asciiTheme="minorHAnsi" w:hAnsiTheme="minorHAnsi"/>
                <w:sz w:val="22"/>
                <w:szCs w:val="22"/>
              </w:rPr>
              <w:t>The FAR currently defers to Circulars A-21 and A-122 for covered contracts with IHEs and nonprofit research institutions.</w:t>
            </w:r>
          </w:p>
          <w:p w14:paraId="5D6F453F" w14:textId="28BFE552" w:rsidR="00922443" w:rsidRPr="00922443" w:rsidRDefault="00922443" w:rsidP="004C28F6">
            <w:pPr>
              <w:pStyle w:val="PlainText"/>
              <w:numPr>
                <w:ilvl w:val="0"/>
                <w:numId w:val="25"/>
              </w:numPr>
              <w:jc w:val="both"/>
              <w:rPr>
                <w:rFonts w:ascii="Calibri" w:hAnsi="Calibri"/>
                <w:sz w:val="22"/>
                <w:szCs w:val="22"/>
              </w:rPr>
            </w:pPr>
            <w:r w:rsidRPr="00922443">
              <w:rPr>
                <w:rFonts w:asciiTheme="minorHAnsi" w:hAnsiTheme="minorHAnsi"/>
                <w:sz w:val="22"/>
                <w:szCs w:val="22"/>
              </w:rPr>
              <w:t>Going forward, the FAR will defer to the U</w:t>
            </w:r>
            <w:r>
              <w:rPr>
                <w:rFonts w:asciiTheme="minorHAnsi" w:hAnsiTheme="minorHAnsi"/>
                <w:sz w:val="22"/>
                <w:szCs w:val="22"/>
              </w:rPr>
              <w:t>niform Guidance and, c</w:t>
            </w:r>
            <w:r w:rsidRPr="00922443">
              <w:rPr>
                <w:rFonts w:asciiTheme="minorHAnsi" w:hAnsiTheme="minorHAnsi"/>
                <w:sz w:val="22"/>
                <w:szCs w:val="22"/>
              </w:rPr>
              <w:t>onsequently, IHEs and nonprofit research institutions may be required to comply with the limit.</w:t>
            </w:r>
          </w:p>
          <w:p w14:paraId="5679E9FB" w14:textId="77777777" w:rsidR="00C24875" w:rsidRPr="00744180" w:rsidRDefault="00C24875" w:rsidP="00922443">
            <w:pPr>
              <w:pStyle w:val="Default"/>
              <w:rPr>
                <w:rFonts w:asciiTheme="minorHAnsi" w:hAnsiTheme="minorHAnsi"/>
                <w:sz w:val="22"/>
                <w:szCs w:val="22"/>
              </w:rPr>
            </w:pPr>
          </w:p>
        </w:tc>
      </w:tr>
      <w:tr w:rsidR="00C24875" w:rsidRPr="004A46A7" w14:paraId="7E8C5605" w14:textId="77777777" w:rsidTr="000D538B">
        <w:trPr>
          <w:trHeight w:val="432"/>
        </w:trPr>
        <w:tc>
          <w:tcPr>
            <w:tcW w:w="518" w:type="dxa"/>
          </w:tcPr>
          <w:p w14:paraId="2861C676" w14:textId="31A9AEAC" w:rsidR="00C24875" w:rsidRPr="009F48BA" w:rsidRDefault="00C24875" w:rsidP="00C24875">
            <w:pPr>
              <w:pStyle w:val="PlainText"/>
              <w:jc w:val="center"/>
              <w:rPr>
                <w:rFonts w:asciiTheme="minorHAnsi" w:hAnsiTheme="minorHAnsi"/>
                <w:b/>
                <w:sz w:val="22"/>
                <w:szCs w:val="22"/>
              </w:rPr>
            </w:pPr>
            <w:r>
              <w:rPr>
                <w:rFonts w:asciiTheme="minorHAnsi" w:hAnsiTheme="minorHAnsi"/>
                <w:b/>
                <w:bCs/>
                <w:sz w:val="22"/>
                <w:szCs w:val="22"/>
              </w:rPr>
              <w:t>4.</w:t>
            </w:r>
          </w:p>
        </w:tc>
        <w:tc>
          <w:tcPr>
            <w:tcW w:w="1872" w:type="dxa"/>
          </w:tcPr>
          <w:p w14:paraId="4A0769E5" w14:textId="77777777" w:rsidR="00C24875" w:rsidRDefault="00C24875" w:rsidP="009F48BA">
            <w:pPr>
              <w:jc w:val="center"/>
              <w:rPr>
                <w:rFonts w:asciiTheme="minorHAnsi" w:eastAsia="Calibri" w:hAnsiTheme="minorHAnsi" w:cs="Calibri"/>
                <w:bCs/>
                <w:i/>
                <w:iCs/>
                <w:sz w:val="22"/>
                <w:szCs w:val="22"/>
              </w:rPr>
            </w:pPr>
            <w:r>
              <w:rPr>
                <w:rFonts w:asciiTheme="minorHAnsi" w:eastAsia="Calibri" w:hAnsiTheme="minorHAnsi" w:cs="Calibri"/>
                <w:bCs/>
                <w:i/>
                <w:iCs/>
                <w:sz w:val="22"/>
                <w:szCs w:val="22"/>
              </w:rPr>
              <w:t>Terminal</w:t>
            </w:r>
          </w:p>
          <w:p w14:paraId="1976458B" w14:textId="64D71775" w:rsidR="00C24875" w:rsidRPr="009F48BA" w:rsidRDefault="00C24875" w:rsidP="009F48BA">
            <w:pPr>
              <w:jc w:val="center"/>
              <w:rPr>
                <w:rFonts w:asciiTheme="minorHAnsi" w:hAnsiTheme="minorHAnsi"/>
                <w:sz w:val="22"/>
                <w:szCs w:val="22"/>
              </w:rPr>
            </w:pPr>
            <w:r>
              <w:rPr>
                <w:rFonts w:asciiTheme="minorHAnsi" w:eastAsia="Calibri" w:hAnsiTheme="minorHAnsi" w:cs="Calibri"/>
                <w:bCs/>
                <w:i/>
                <w:iCs/>
                <w:sz w:val="22"/>
                <w:szCs w:val="22"/>
              </w:rPr>
              <w:t>L</w:t>
            </w:r>
            <w:r w:rsidRPr="009F48BA">
              <w:rPr>
                <w:rFonts w:asciiTheme="minorHAnsi" w:eastAsia="Calibri" w:hAnsiTheme="minorHAnsi" w:cs="Calibri"/>
                <w:bCs/>
                <w:i/>
                <w:iCs/>
                <w:sz w:val="22"/>
                <w:szCs w:val="22"/>
              </w:rPr>
              <w:t>eave</w:t>
            </w:r>
            <w:r>
              <w:rPr>
                <w:rFonts w:asciiTheme="minorHAnsi" w:eastAsia="Calibri" w:hAnsiTheme="minorHAnsi" w:cs="Calibri"/>
                <w:bCs/>
                <w:i/>
                <w:iCs/>
                <w:sz w:val="22"/>
                <w:szCs w:val="22"/>
              </w:rPr>
              <w:t xml:space="preserve"> and other benefits</w:t>
            </w:r>
          </w:p>
          <w:p w14:paraId="6956A6AE" w14:textId="77777777" w:rsidR="00C24875" w:rsidRPr="009F48BA" w:rsidRDefault="00C24875" w:rsidP="009F48BA">
            <w:pPr>
              <w:jc w:val="center"/>
              <w:rPr>
                <w:rFonts w:asciiTheme="minorHAnsi" w:hAnsiTheme="minorHAnsi"/>
                <w:sz w:val="12"/>
                <w:szCs w:val="12"/>
              </w:rPr>
            </w:pPr>
          </w:p>
          <w:p w14:paraId="3C456276" w14:textId="77777777" w:rsidR="00C24875" w:rsidRPr="009F48BA" w:rsidRDefault="00C24875" w:rsidP="009F48BA">
            <w:pPr>
              <w:pStyle w:val="PlainText"/>
              <w:jc w:val="center"/>
              <w:rPr>
                <w:rFonts w:asciiTheme="minorHAnsi" w:hAnsiTheme="minorHAnsi"/>
                <w:sz w:val="22"/>
                <w:szCs w:val="22"/>
              </w:rPr>
            </w:pPr>
            <w:r w:rsidRPr="009F48BA">
              <w:rPr>
                <w:rFonts w:asciiTheme="minorHAnsi" w:eastAsia="Calibri" w:hAnsiTheme="minorHAnsi" w:cs="Calibri"/>
                <w:b/>
                <w:bCs/>
                <w:i/>
                <w:iCs/>
                <w:sz w:val="22"/>
                <w:szCs w:val="22"/>
              </w:rPr>
              <w:t>(200.431)</w:t>
            </w:r>
          </w:p>
        </w:tc>
        <w:tc>
          <w:tcPr>
            <w:tcW w:w="12283" w:type="dxa"/>
          </w:tcPr>
          <w:p w14:paraId="1F7B24D2" w14:textId="17EE8D8E" w:rsidR="00C24875" w:rsidRPr="00744180" w:rsidRDefault="00922443" w:rsidP="00744180">
            <w:pPr>
              <w:pStyle w:val="Default"/>
              <w:jc w:val="both"/>
              <w:rPr>
                <w:rFonts w:asciiTheme="minorHAnsi" w:hAnsiTheme="minorHAnsi"/>
                <w:sz w:val="22"/>
                <w:szCs w:val="22"/>
              </w:rPr>
            </w:pPr>
            <w:r>
              <w:rPr>
                <w:rFonts w:asciiTheme="minorHAnsi" w:hAnsiTheme="minorHAnsi"/>
                <w:sz w:val="22"/>
                <w:szCs w:val="22"/>
              </w:rPr>
              <w:t>COFAR F</w:t>
            </w:r>
            <w:r w:rsidR="00C24875" w:rsidRPr="00744180">
              <w:rPr>
                <w:rFonts w:asciiTheme="minorHAnsi" w:hAnsiTheme="minorHAnsi"/>
                <w:sz w:val="22"/>
                <w:szCs w:val="22"/>
              </w:rPr>
              <w:t>AQ 200.431-1</w:t>
            </w:r>
            <w:r>
              <w:rPr>
                <w:rFonts w:asciiTheme="minorHAnsi" w:hAnsiTheme="minorHAnsi"/>
                <w:sz w:val="22"/>
                <w:szCs w:val="22"/>
              </w:rPr>
              <w:t xml:space="preserve"> states that </w:t>
            </w:r>
            <w:r w:rsidR="00C24875" w:rsidRPr="00744180">
              <w:rPr>
                <w:rFonts w:asciiTheme="minorHAnsi" w:hAnsiTheme="minorHAnsi"/>
                <w:sz w:val="22"/>
                <w:szCs w:val="22"/>
              </w:rPr>
              <w:t xml:space="preserve">OMB will issue a technical correction to delete the requirement that indirect costs be used to charge payments of unused leave, workers compensation, unemployment compensation, severance pay and similar employee benefits. </w:t>
            </w:r>
            <w:r w:rsidR="00D13F7F">
              <w:rPr>
                <w:rFonts w:asciiTheme="minorHAnsi" w:hAnsiTheme="minorHAnsi"/>
                <w:sz w:val="22"/>
                <w:szCs w:val="22"/>
              </w:rPr>
              <w:t>Consequently</w:t>
            </w:r>
            <w:r>
              <w:rPr>
                <w:rFonts w:asciiTheme="minorHAnsi" w:hAnsiTheme="minorHAnsi"/>
                <w:sz w:val="22"/>
                <w:szCs w:val="22"/>
              </w:rPr>
              <w:t xml:space="preserve">, direct charging </w:t>
            </w:r>
            <w:r w:rsidR="00D13F7F">
              <w:rPr>
                <w:rFonts w:asciiTheme="minorHAnsi" w:hAnsiTheme="minorHAnsi"/>
                <w:sz w:val="22"/>
                <w:szCs w:val="22"/>
              </w:rPr>
              <w:t>using</w:t>
            </w:r>
            <w:r>
              <w:rPr>
                <w:rFonts w:asciiTheme="minorHAnsi" w:hAnsiTheme="minorHAnsi"/>
                <w:sz w:val="22"/>
                <w:szCs w:val="22"/>
              </w:rPr>
              <w:t xml:space="preserve"> the cash basis of accounting remains an allowable methodology.</w:t>
            </w:r>
          </w:p>
          <w:p w14:paraId="3C9C00BD" w14:textId="77777777" w:rsidR="00C24875" w:rsidRPr="00744180" w:rsidRDefault="00C24875" w:rsidP="00744180">
            <w:pPr>
              <w:pStyle w:val="Default"/>
              <w:jc w:val="both"/>
              <w:rPr>
                <w:rFonts w:asciiTheme="minorHAnsi" w:hAnsiTheme="minorHAnsi"/>
                <w:sz w:val="22"/>
                <w:szCs w:val="22"/>
              </w:rPr>
            </w:pPr>
          </w:p>
          <w:p w14:paraId="55AD0E50" w14:textId="35B354D9" w:rsidR="00922443" w:rsidRPr="00922443" w:rsidRDefault="0083269B" w:rsidP="00922443">
            <w:pPr>
              <w:pStyle w:val="TableContents"/>
              <w:jc w:val="both"/>
              <w:rPr>
                <w:rFonts w:asciiTheme="minorHAnsi" w:hAnsiTheme="minorHAnsi"/>
                <w:b/>
                <w:i/>
                <w:sz w:val="22"/>
                <w:szCs w:val="22"/>
              </w:rPr>
            </w:pPr>
            <w:r w:rsidRPr="006D640C">
              <w:rPr>
                <w:rFonts w:asciiTheme="minorHAnsi" w:hAnsiTheme="minorHAnsi"/>
                <w:b/>
                <w:i/>
                <w:sz w:val="22"/>
                <w:szCs w:val="22"/>
              </w:rPr>
              <w:t xml:space="preserve">POINTS </w:t>
            </w:r>
            <w:r>
              <w:rPr>
                <w:rFonts w:asciiTheme="minorHAnsi" w:hAnsiTheme="minorHAnsi"/>
                <w:b/>
                <w:i/>
                <w:sz w:val="22"/>
                <w:szCs w:val="22"/>
              </w:rPr>
              <w:t>TO CONSIDER</w:t>
            </w:r>
            <w:r w:rsidR="00922443" w:rsidRPr="00922443">
              <w:rPr>
                <w:rFonts w:asciiTheme="minorHAnsi" w:hAnsiTheme="minorHAnsi"/>
                <w:b/>
                <w:i/>
                <w:sz w:val="22"/>
                <w:szCs w:val="22"/>
              </w:rPr>
              <w:t>:</w:t>
            </w:r>
          </w:p>
          <w:p w14:paraId="6B0AFB5C" w14:textId="77777777" w:rsidR="00922443" w:rsidRPr="00922443" w:rsidRDefault="00922443" w:rsidP="00922443">
            <w:pPr>
              <w:jc w:val="both"/>
              <w:rPr>
                <w:rFonts w:ascii="Calibri" w:hAnsi="Calibri"/>
                <w:b w:val="0"/>
                <w:sz w:val="12"/>
                <w:szCs w:val="12"/>
              </w:rPr>
            </w:pPr>
          </w:p>
          <w:p w14:paraId="1F59F2A2" w14:textId="2A8F16EC" w:rsidR="00922443" w:rsidRPr="00922443" w:rsidRDefault="00922443" w:rsidP="004C28F6">
            <w:pPr>
              <w:pStyle w:val="PlainText"/>
              <w:numPr>
                <w:ilvl w:val="0"/>
                <w:numId w:val="26"/>
              </w:numPr>
              <w:jc w:val="both"/>
              <w:rPr>
                <w:rFonts w:ascii="Calibri" w:hAnsi="Calibri"/>
                <w:sz w:val="22"/>
                <w:szCs w:val="22"/>
              </w:rPr>
            </w:pPr>
            <w:r w:rsidRPr="00922443">
              <w:rPr>
                <w:rFonts w:asciiTheme="minorHAnsi" w:hAnsiTheme="minorHAnsi"/>
                <w:sz w:val="22"/>
                <w:szCs w:val="22"/>
              </w:rPr>
              <w:t xml:space="preserve">If continuing to direct charge terminal leave costs under the cash basis, review your process for allocating these costs, and the </w:t>
            </w:r>
            <w:r w:rsidRPr="00922443">
              <w:rPr>
                <w:rFonts w:asciiTheme="minorHAnsi" w:hAnsiTheme="minorHAnsi"/>
                <w:sz w:val="22"/>
                <w:szCs w:val="22"/>
              </w:rPr>
              <w:lastRenderedPageBreak/>
              <w:t>internal control environment to assure proper allocation of the cost</w:t>
            </w:r>
            <w:r w:rsidR="00D13F7F">
              <w:rPr>
                <w:rFonts w:asciiTheme="minorHAnsi" w:hAnsiTheme="minorHAnsi"/>
                <w:sz w:val="22"/>
                <w:szCs w:val="22"/>
              </w:rPr>
              <w:t>s</w:t>
            </w:r>
            <w:r w:rsidRPr="00922443">
              <w:rPr>
                <w:rFonts w:asciiTheme="minorHAnsi" w:hAnsiTheme="minorHAnsi"/>
                <w:sz w:val="22"/>
                <w:szCs w:val="22"/>
              </w:rPr>
              <w:t>.</w:t>
            </w:r>
          </w:p>
          <w:p w14:paraId="2639A8FD" w14:textId="4D77F12A" w:rsidR="00922443" w:rsidRPr="00922443" w:rsidRDefault="00922443" w:rsidP="004C28F6">
            <w:pPr>
              <w:pStyle w:val="PlainText"/>
              <w:numPr>
                <w:ilvl w:val="0"/>
                <w:numId w:val="26"/>
              </w:numPr>
              <w:jc w:val="both"/>
              <w:rPr>
                <w:rFonts w:ascii="Calibri" w:hAnsi="Calibri"/>
                <w:sz w:val="22"/>
                <w:szCs w:val="22"/>
              </w:rPr>
            </w:pPr>
            <w:r>
              <w:rPr>
                <w:rFonts w:asciiTheme="minorHAnsi" w:hAnsiTheme="minorHAnsi"/>
                <w:sz w:val="22"/>
                <w:szCs w:val="22"/>
              </w:rPr>
              <w:t>While charging these types of benefits using the cash basis remains allowable, c</w:t>
            </w:r>
            <w:r w:rsidRPr="00922443">
              <w:rPr>
                <w:rFonts w:asciiTheme="minorHAnsi" w:hAnsiTheme="minorHAnsi"/>
                <w:sz w:val="22"/>
                <w:szCs w:val="22"/>
              </w:rPr>
              <w:t xml:space="preserve">onsider </w:t>
            </w:r>
            <w:r>
              <w:rPr>
                <w:rFonts w:asciiTheme="minorHAnsi" w:hAnsiTheme="minorHAnsi"/>
                <w:sz w:val="22"/>
                <w:szCs w:val="22"/>
              </w:rPr>
              <w:t xml:space="preserve">the </w:t>
            </w:r>
            <w:r w:rsidRPr="00922443">
              <w:rPr>
                <w:rFonts w:asciiTheme="minorHAnsi" w:hAnsiTheme="minorHAnsi"/>
                <w:sz w:val="22"/>
                <w:szCs w:val="22"/>
              </w:rPr>
              <w:t xml:space="preserve">pros/cons of charging as </w:t>
            </w:r>
            <w:r>
              <w:rPr>
                <w:rFonts w:asciiTheme="minorHAnsi" w:hAnsiTheme="minorHAnsi"/>
                <w:sz w:val="22"/>
                <w:szCs w:val="22"/>
              </w:rPr>
              <w:t xml:space="preserve">part of the </w:t>
            </w:r>
            <w:r w:rsidRPr="00922443">
              <w:rPr>
                <w:rFonts w:asciiTheme="minorHAnsi" w:hAnsiTheme="minorHAnsi"/>
                <w:sz w:val="22"/>
                <w:szCs w:val="22"/>
              </w:rPr>
              <w:t>fringe benefit</w:t>
            </w:r>
            <w:r>
              <w:rPr>
                <w:rFonts w:asciiTheme="minorHAnsi" w:hAnsiTheme="minorHAnsi"/>
                <w:sz w:val="22"/>
                <w:szCs w:val="22"/>
              </w:rPr>
              <w:t xml:space="preserve"> rate.</w:t>
            </w:r>
          </w:p>
          <w:p w14:paraId="32C4A4D4" w14:textId="51A90D79" w:rsidR="00C24875" w:rsidRPr="00744180" w:rsidRDefault="00922443" w:rsidP="00922443">
            <w:pPr>
              <w:pStyle w:val="Default"/>
              <w:jc w:val="both"/>
              <w:rPr>
                <w:rFonts w:asciiTheme="minorHAnsi" w:hAnsiTheme="minorHAnsi"/>
                <w:sz w:val="22"/>
                <w:szCs w:val="22"/>
                <w:u w:val="single"/>
              </w:rPr>
            </w:pPr>
            <w:r w:rsidRPr="00744180">
              <w:rPr>
                <w:rFonts w:asciiTheme="minorHAnsi" w:hAnsiTheme="minorHAnsi"/>
                <w:sz w:val="22"/>
                <w:szCs w:val="22"/>
                <w:u w:val="single"/>
              </w:rPr>
              <w:t xml:space="preserve"> </w:t>
            </w:r>
          </w:p>
        </w:tc>
      </w:tr>
      <w:tr w:rsidR="00C24875" w:rsidRPr="004A46A7" w14:paraId="008CB31A" w14:textId="77777777" w:rsidTr="000D538B">
        <w:trPr>
          <w:trHeight w:val="432"/>
        </w:trPr>
        <w:tc>
          <w:tcPr>
            <w:tcW w:w="518" w:type="dxa"/>
          </w:tcPr>
          <w:p w14:paraId="68CD0941" w14:textId="29D73C11" w:rsidR="00C24875" w:rsidRPr="009F48BA" w:rsidRDefault="00C24875" w:rsidP="00C24875">
            <w:pPr>
              <w:pStyle w:val="TableContents"/>
              <w:jc w:val="center"/>
              <w:rPr>
                <w:rFonts w:asciiTheme="minorHAnsi" w:hAnsiTheme="minorHAnsi"/>
                <w:b/>
                <w:sz w:val="22"/>
                <w:szCs w:val="22"/>
              </w:rPr>
            </w:pPr>
            <w:r>
              <w:rPr>
                <w:rFonts w:asciiTheme="minorHAnsi" w:hAnsiTheme="minorHAnsi"/>
                <w:b/>
                <w:bCs/>
                <w:sz w:val="22"/>
                <w:szCs w:val="22"/>
              </w:rPr>
              <w:lastRenderedPageBreak/>
              <w:t>5.</w:t>
            </w:r>
          </w:p>
        </w:tc>
        <w:tc>
          <w:tcPr>
            <w:tcW w:w="1872" w:type="dxa"/>
          </w:tcPr>
          <w:p w14:paraId="1CE9042B" w14:textId="77777777" w:rsidR="00C24875" w:rsidRPr="00A04317" w:rsidRDefault="00C24875" w:rsidP="009B4396">
            <w:pPr>
              <w:pStyle w:val="Default"/>
              <w:jc w:val="center"/>
              <w:rPr>
                <w:rFonts w:asciiTheme="minorHAnsi" w:eastAsia="Times Roman" w:hAnsiTheme="minorHAnsi" w:cs="Times Roman"/>
                <w:b/>
                <w:bCs/>
                <w:i/>
                <w:sz w:val="22"/>
                <w:szCs w:val="22"/>
              </w:rPr>
            </w:pPr>
            <w:r w:rsidRPr="00A04317">
              <w:rPr>
                <w:rFonts w:asciiTheme="minorHAnsi" w:hAnsiTheme="minorHAnsi"/>
                <w:b/>
                <w:bCs/>
                <w:i/>
                <w:iCs/>
                <w:sz w:val="22"/>
                <w:szCs w:val="22"/>
              </w:rPr>
              <w:t>C</w:t>
            </w:r>
            <w:r w:rsidRPr="00A04317">
              <w:rPr>
                <w:rFonts w:asciiTheme="minorHAnsi" w:hAnsiTheme="minorHAnsi"/>
                <w:b/>
                <w:bCs/>
                <w:i/>
                <w:sz w:val="22"/>
                <w:szCs w:val="22"/>
              </w:rPr>
              <w:t>omputing devices</w:t>
            </w:r>
          </w:p>
          <w:p w14:paraId="32519B45" w14:textId="77777777" w:rsidR="00C24875" w:rsidRPr="00A04317" w:rsidRDefault="00C24875" w:rsidP="009B4396">
            <w:pPr>
              <w:pStyle w:val="Default"/>
              <w:jc w:val="center"/>
              <w:rPr>
                <w:rFonts w:asciiTheme="minorHAnsi" w:eastAsia="Times Roman" w:hAnsiTheme="minorHAnsi" w:cs="Times Roman"/>
                <w:b/>
                <w:bCs/>
                <w:i/>
                <w:sz w:val="12"/>
                <w:szCs w:val="12"/>
              </w:rPr>
            </w:pPr>
          </w:p>
          <w:p w14:paraId="7FBE8200" w14:textId="77777777" w:rsidR="00C24875" w:rsidRPr="009F48BA" w:rsidRDefault="00C24875" w:rsidP="009B4396">
            <w:pPr>
              <w:pStyle w:val="Default"/>
              <w:jc w:val="center"/>
              <w:rPr>
                <w:rFonts w:asciiTheme="minorHAnsi" w:hAnsiTheme="minorHAnsi"/>
                <w:sz w:val="22"/>
                <w:szCs w:val="22"/>
              </w:rPr>
            </w:pPr>
            <w:r w:rsidRPr="00A04317">
              <w:rPr>
                <w:rFonts w:asciiTheme="minorHAnsi" w:hAnsiTheme="minorHAnsi"/>
                <w:b/>
                <w:bCs/>
                <w:i/>
                <w:sz w:val="22"/>
                <w:szCs w:val="22"/>
              </w:rPr>
              <w:t>(200.453)</w:t>
            </w:r>
          </w:p>
        </w:tc>
        <w:tc>
          <w:tcPr>
            <w:tcW w:w="12283" w:type="dxa"/>
          </w:tcPr>
          <w:p w14:paraId="4A8E3555" w14:textId="0205AD82" w:rsidR="00C24875" w:rsidRPr="0083269B" w:rsidRDefault="00C94471" w:rsidP="00744180">
            <w:pPr>
              <w:pStyle w:val="Default"/>
              <w:jc w:val="both"/>
              <w:rPr>
                <w:rFonts w:asciiTheme="minorHAnsi" w:hAnsiTheme="minorHAnsi"/>
                <w:sz w:val="22"/>
                <w:szCs w:val="22"/>
              </w:rPr>
            </w:pPr>
            <w:r>
              <w:rPr>
                <w:rFonts w:asciiTheme="minorHAnsi" w:hAnsiTheme="minorHAnsi"/>
                <w:sz w:val="22"/>
                <w:szCs w:val="22"/>
              </w:rPr>
              <w:t>200.453 states that m</w:t>
            </w:r>
            <w:r w:rsidR="00C24875" w:rsidRPr="00744180">
              <w:rPr>
                <w:rFonts w:asciiTheme="minorHAnsi" w:hAnsiTheme="minorHAnsi"/>
                <w:sz w:val="22"/>
                <w:szCs w:val="22"/>
              </w:rPr>
              <w:t xml:space="preserve">aterials and supplies used for the performance of a Federal award may be charged as direct costs. In the specific case of computing devices, charging as direct costs is allowable for devices that are essential and allocable, but not solely dedicated, to the </w:t>
            </w:r>
            <w:r w:rsidR="00C24875" w:rsidRPr="0083269B">
              <w:rPr>
                <w:rFonts w:asciiTheme="minorHAnsi" w:hAnsiTheme="minorHAnsi"/>
                <w:sz w:val="22"/>
                <w:szCs w:val="22"/>
              </w:rPr>
              <w:t>performance of a Federal award.</w:t>
            </w:r>
          </w:p>
          <w:p w14:paraId="4CA0D71E" w14:textId="77777777" w:rsidR="00C24875" w:rsidRPr="0083269B" w:rsidRDefault="00C24875" w:rsidP="00744180">
            <w:pPr>
              <w:pStyle w:val="Default"/>
              <w:jc w:val="both"/>
              <w:rPr>
                <w:rFonts w:asciiTheme="minorHAnsi" w:hAnsiTheme="minorHAnsi"/>
                <w:sz w:val="22"/>
                <w:szCs w:val="22"/>
              </w:rPr>
            </w:pPr>
          </w:p>
          <w:p w14:paraId="00BF8BAE" w14:textId="6DB4FCB4" w:rsidR="00C94471" w:rsidRPr="0083269B" w:rsidRDefault="0083269B" w:rsidP="00C94471">
            <w:pPr>
              <w:pStyle w:val="TableContents"/>
              <w:jc w:val="both"/>
              <w:rPr>
                <w:rFonts w:asciiTheme="minorHAnsi" w:hAnsiTheme="minorHAnsi"/>
                <w:b/>
                <w:i/>
                <w:sz w:val="22"/>
                <w:szCs w:val="22"/>
              </w:rPr>
            </w:pPr>
            <w:r w:rsidRPr="0083269B">
              <w:rPr>
                <w:rFonts w:asciiTheme="minorHAnsi" w:hAnsiTheme="minorHAnsi"/>
                <w:b/>
                <w:i/>
                <w:sz w:val="22"/>
                <w:szCs w:val="22"/>
              </w:rPr>
              <w:t>POINTS TO CONSIDER</w:t>
            </w:r>
            <w:r w:rsidR="00C94471" w:rsidRPr="0083269B">
              <w:rPr>
                <w:rFonts w:asciiTheme="minorHAnsi" w:hAnsiTheme="minorHAnsi"/>
                <w:b/>
                <w:i/>
                <w:sz w:val="22"/>
                <w:szCs w:val="22"/>
              </w:rPr>
              <w:t>:</w:t>
            </w:r>
          </w:p>
          <w:p w14:paraId="4F5E349A" w14:textId="77777777" w:rsidR="00C94471" w:rsidRPr="0083269B" w:rsidRDefault="00C94471" w:rsidP="00C94471">
            <w:pPr>
              <w:jc w:val="both"/>
              <w:rPr>
                <w:rFonts w:asciiTheme="minorHAnsi" w:hAnsiTheme="minorHAnsi"/>
                <w:b w:val="0"/>
                <w:sz w:val="12"/>
                <w:szCs w:val="12"/>
              </w:rPr>
            </w:pPr>
          </w:p>
          <w:p w14:paraId="3BB7F995" w14:textId="1BEEA0DF" w:rsidR="0083269B" w:rsidRPr="00E55291" w:rsidRDefault="0083269B" w:rsidP="00A7145D">
            <w:pPr>
              <w:pStyle w:val="PlainText"/>
              <w:numPr>
                <w:ilvl w:val="0"/>
                <w:numId w:val="27"/>
              </w:numPr>
              <w:jc w:val="both"/>
              <w:rPr>
                <w:rFonts w:asciiTheme="minorHAnsi" w:hAnsiTheme="minorHAnsi"/>
                <w:sz w:val="22"/>
                <w:szCs w:val="22"/>
              </w:rPr>
            </w:pPr>
            <w:r w:rsidRPr="00E55291">
              <w:rPr>
                <w:rFonts w:asciiTheme="minorHAnsi" w:eastAsia="Times New Roman" w:hAnsiTheme="minorHAnsi"/>
                <w:sz w:val="22"/>
                <w:szCs w:val="22"/>
              </w:rPr>
              <w:t>Consider reviewing current institutional policy to ensure that computing devices that are charged as direct costs are essential and allowable, even if not solely dedicated to the award</w:t>
            </w:r>
            <w:r w:rsidR="006C4138" w:rsidRPr="00E55291">
              <w:rPr>
                <w:rFonts w:asciiTheme="minorHAnsi" w:eastAsia="Times New Roman" w:hAnsiTheme="minorHAnsi"/>
                <w:sz w:val="22"/>
                <w:szCs w:val="22"/>
              </w:rPr>
              <w:t>.</w:t>
            </w:r>
          </w:p>
          <w:p w14:paraId="113B9136" w14:textId="0F7EFFD4" w:rsidR="006C4138" w:rsidRPr="00E55291" w:rsidRDefault="006C4138" w:rsidP="00A7145D">
            <w:pPr>
              <w:pStyle w:val="PlainText"/>
              <w:numPr>
                <w:ilvl w:val="0"/>
                <w:numId w:val="27"/>
              </w:numPr>
              <w:jc w:val="both"/>
              <w:rPr>
                <w:rFonts w:asciiTheme="minorHAnsi" w:hAnsiTheme="minorHAnsi"/>
                <w:sz w:val="22"/>
                <w:szCs w:val="22"/>
              </w:rPr>
            </w:pPr>
            <w:r w:rsidRPr="00E55291">
              <w:rPr>
                <w:rFonts w:asciiTheme="minorHAnsi" w:hAnsiTheme="minorHAnsi"/>
                <w:sz w:val="22"/>
                <w:szCs w:val="22"/>
              </w:rPr>
              <w:t xml:space="preserve">Charging 100% to a Federal award appears to be allowable, </w:t>
            </w:r>
            <w:r w:rsidR="00E55291" w:rsidRPr="00E55291">
              <w:rPr>
                <w:rFonts w:asciiTheme="minorHAnsi" w:hAnsiTheme="minorHAnsi"/>
                <w:sz w:val="22"/>
                <w:szCs w:val="22"/>
              </w:rPr>
              <w:t>though this is a topic still under discussion as to the best</w:t>
            </w:r>
            <w:r w:rsidR="00BD1C13">
              <w:rPr>
                <w:rFonts w:asciiTheme="minorHAnsi" w:hAnsiTheme="minorHAnsi"/>
                <w:sz w:val="22"/>
                <w:szCs w:val="22"/>
              </w:rPr>
              <w:t>/e</w:t>
            </w:r>
            <w:r w:rsidR="00E55291" w:rsidRPr="00E55291">
              <w:rPr>
                <w:rFonts w:asciiTheme="minorHAnsi" w:hAnsiTheme="minorHAnsi"/>
                <w:sz w:val="22"/>
                <w:szCs w:val="22"/>
              </w:rPr>
              <w:t xml:space="preserve">ffective practices for </w:t>
            </w:r>
            <w:r w:rsidR="00C106D5">
              <w:rPr>
                <w:rFonts w:asciiTheme="minorHAnsi" w:hAnsiTheme="minorHAnsi"/>
                <w:sz w:val="22"/>
                <w:szCs w:val="22"/>
              </w:rPr>
              <w:t>implementing</w:t>
            </w:r>
            <w:r w:rsidR="00E55291" w:rsidRPr="00E55291">
              <w:rPr>
                <w:rFonts w:asciiTheme="minorHAnsi" w:hAnsiTheme="minorHAnsi"/>
                <w:sz w:val="22"/>
                <w:szCs w:val="22"/>
              </w:rPr>
              <w:t>.</w:t>
            </w:r>
          </w:p>
          <w:p w14:paraId="75A23C36" w14:textId="1F1D6E24" w:rsidR="0083269B" w:rsidRPr="0083269B" w:rsidRDefault="000A0285" w:rsidP="0083269B">
            <w:pPr>
              <w:pStyle w:val="PlainText"/>
              <w:numPr>
                <w:ilvl w:val="0"/>
                <w:numId w:val="27"/>
              </w:numPr>
              <w:jc w:val="both"/>
              <w:rPr>
                <w:rFonts w:ascii="Calibri" w:hAnsi="Calibri"/>
                <w:sz w:val="22"/>
                <w:szCs w:val="22"/>
              </w:rPr>
            </w:pPr>
            <w:r w:rsidRPr="00E55291">
              <w:rPr>
                <w:rFonts w:asciiTheme="minorHAnsi" w:hAnsiTheme="minorHAnsi"/>
                <w:sz w:val="22"/>
                <w:szCs w:val="22"/>
              </w:rPr>
              <w:t>When computing devices</w:t>
            </w:r>
            <w:r w:rsidR="003873DE" w:rsidRPr="00E55291">
              <w:rPr>
                <w:rFonts w:asciiTheme="minorHAnsi" w:hAnsiTheme="minorHAnsi"/>
                <w:sz w:val="22"/>
                <w:szCs w:val="22"/>
              </w:rPr>
              <w:t xml:space="preserve"> are used for the conduct of research and</w:t>
            </w:r>
            <w:r w:rsidRPr="00E55291">
              <w:rPr>
                <w:rFonts w:asciiTheme="minorHAnsi" w:hAnsiTheme="minorHAnsi"/>
                <w:sz w:val="22"/>
                <w:szCs w:val="22"/>
              </w:rPr>
              <w:t xml:space="preserve"> exceed the institution’s capitalization threshold, such devices should be proposed a</w:t>
            </w:r>
            <w:r w:rsidR="006B4529" w:rsidRPr="00E55291">
              <w:rPr>
                <w:rFonts w:asciiTheme="minorHAnsi" w:hAnsiTheme="minorHAnsi"/>
                <w:sz w:val="22"/>
                <w:szCs w:val="22"/>
              </w:rPr>
              <w:t>nd charged</w:t>
            </w:r>
            <w:r w:rsidR="006B4529" w:rsidRPr="0083269B">
              <w:rPr>
                <w:rFonts w:asciiTheme="minorHAnsi" w:hAnsiTheme="minorHAnsi"/>
                <w:sz w:val="22"/>
                <w:szCs w:val="22"/>
              </w:rPr>
              <w:t xml:space="preserve"> as scientific e</w:t>
            </w:r>
            <w:r w:rsidR="003873DE" w:rsidRPr="0083269B">
              <w:rPr>
                <w:rFonts w:asciiTheme="minorHAnsi" w:hAnsiTheme="minorHAnsi"/>
                <w:sz w:val="22"/>
                <w:szCs w:val="22"/>
              </w:rPr>
              <w:t>quipment</w:t>
            </w:r>
            <w:r w:rsidR="006B4529" w:rsidRPr="0083269B">
              <w:rPr>
                <w:rFonts w:asciiTheme="minorHAnsi" w:hAnsiTheme="minorHAnsi"/>
                <w:sz w:val="22"/>
                <w:szCs w:val="22"/>
              </w:rPr>
              <w:t xml:space="preserve"> and not as general purpose e</w:t>
            </w:r>
            <w:r w:rsidR="00086012" w:rsidRPr="0083269B">
              <w:rPr>
                <w:rFonts w:asciiTheme="minorHAnsi" w:hAnsiTheme="minorHAnsi"/>
                <w:sz w:val="22"/>
                <w:szCs w:val="22"/>
              </w:rPr>
              <w:t>quipment.</w:t>
            </w:r>
          </w:p>
          <w:p w14:paraId="0A4D1F1E" w14:textId="77777777" w:rsidR="00C24875" w:rsidRPr="0083269B" w:rsidRDefault="00606382" w:rsidP="00A7145D">
            <w:pPr>
              <w:pStyle w:val="PlainText"/>
              <w:numPr>
                <w:ilvl w:val="0"/>
                <w:numId w:val="27"/>
              </w:numPr>
              <w:jc w:val="both"/>
              <w:rPr>
                <w:rFonts w:asciiTheme="minorHAnsi" w:hAnsiTheme="minorHAnsi"/>
                <w:sz w:val="22"/>
                <w:szCs w:val="22"/>
              </w:rPr>
            </w:pPr>
            <w:r w:rsidRPr="0083269B">
              <w:rPr>
                <w:rFonts w:asciiTheme="minorHAnsi" w:hAnsiTheme="minorHAnsi"/>
                <w:sz w:val="22"/>
                <w:szCs w:val="22"/>
              </w:rPr>
              <w:t>Refer to agency implementation guidelines for specifics regarding proposing and charging computing devices, and scientific and general purpose equipment.</w:t>
            </w:r>
          </w:p>
          <w:p w14:paraId="501EB092" w14:textId="48629DD0" w:rsidR="006C4138" w:rsidRPr="00744180" w:rsidRDefault="006C4138" w:rsidP="0083269B">
            <w:pPr>
              <w:pStyle w:val="PlainText"/>
              <w:jc w:val="both"/>
              <w:rPr>
                <w:rFonts w:asciiTheme="minorHAnsi" w:hAnsiTheme="minorHAnsi"/>
                <w:sz w:val="22"/>
                <w:szCs w:val="22"/>
              </w:rPr>
            </w:pPr>
          </w:p>
        </w:tc>
      </w:tr>
      <w:tr w:rsidR="00C24875" w:rsidRPr="004A46A7" w14:paraId="79EE10C2" w14:textId="77777777" w:rsidTr="000D538B">
        <w:trPr>
          <w:trHeight w:val="432"/>
        </w:trPr>
        <w:tc>
          <w:tcPr>
            <w:tcW w:w="518" w:type="dxa"/>
          </w:tcPr>
          <w:p w14:paraId="30BF97FB" w14:textId="353E80B6" w:rsidR="00C24875" w:rsidRPr="009F48BA" w:rsidRDefault="00C24875" w:rsidP="00C24875">
            <w:pPr>
              <w:pStyle w:val="TableContents"/>
              <w:jc w:val="center"/>
              <w:rPr>
                <w:rFonts w:asciiTheme="minorHAnsi" w:hAnsiTheme="minorHAnsi"/>
                <w:b/>
                <w:sz w:val="22"/>
                <w:szCs w:val="22"/>
              </w:rPr>
            </w:pPr>
            <w:r>
              <w:rPr>
                <w:rFonts w:asciiTheme="minorHAnsi" w:hAnsiTheme="minorHAnsi"/>
                <w:b/>
                <w:bCs/>
                <w:sz w:val="22"/>
                <w:szCs w:val="22"/>
              </w:rPr>
              <w:t>6.</w:t>
            </w:r>
          </w:p>
        </w:tc>
        <w:tc>
          <w:tcPr>
            <w:tcW w:w="1872" w:type="dxa"/>
          </w:tcPr>
          <w:p w14:paraId="4136401E" w14:textId="4F28A6CE" w:rsidR="00C24875" w:rsidRDefault="00C24875" w:rsidP="009B4396">
            <w:pPr>
              <w:pStyle w:val="Default"/>
              <w:jc w:val="center"/>
              <w:rPr>
                <w:rFonts w:asciiTheme="minorHAnsi" w:hAnsiTheme="minorHAnsi"/>
                <w:b/>
                <w:bCs/>
                <w:i/>
                <w:iCs/>
                <w:sz w:val="22"/>
                <w:szCs w:val="22"/>
              </w:rPr>
            </w:pPr>
            <w:r w:rsidRPr="009F48BA">
              <w:rPr>
                <w:rFonts w:asciiTheme="minorHAnsi" w:hAnsiTheme="minorHAnsi"/>
                <w:b/>
                <w:bCs/>
                <w:i/>
                <w:iCs/>
                <w:sz w:val="22"/>
                <w:szCs w:val="22"/>
              </w:rPr>
              <w:t>Participant Support Costs</w:t>
            </w:r>
            <w:r w:rsidR="006C4138">
              <w:rPr>
                <w:rFonts w:asciiTheme="minorHAnsi" w:hAnsiTheme="minorHAnsi"/>
                <w:b/>
                <w:bCs/>
                <w:i/>
                <w:iCs/>
                <w:sz w:val="22"/>
                <w:szCs w:val="22"/>
              </w:rPr>
              <w:t xml:space="preserve"> and MTDC</w:t>
            </w:r>
          </w:p>
          <w:p w14:paraId="2D10E7D6" w14:textId="77777777" w:rsidR="00C24875" w:rsidRPr="009F48BA" w:rsidRDefault="00C24875" w:rsidP="009B4396">
            <w:pPr>
              <w:pStyle w:val="Default"/>
              <w:jc w:val="center"/>
              <w:rPr>
                <w:rFonts w:asciiTheme="minorHAnsi" w:eastAsia="Times Roman" w:hAnsiTheme="minorHAnsi" w:cs="Times Roman"/>
                <w:b/>
                <w:bCs/>
                <w:i/>
                <w:iCs/>
                <w:sz w:val="22"/>
                <w:szCs w:val="22"/>
              </w:rPr>
            </w:pPr>
          </w:p>
          <w:p w14:paraId="59468C43" w14:textId="77777777" w:rsidR="00C24875" w:rsidRPr="009F48BA" w:rsidRDefault="00C24875" w:rsidP="009B4396">
            <w:pPr>
              <w:pStyle w:val="Default"/>
              <w:jc w:val="center"/>
              <w:rPr>
                <w:rFonts w:asciiTheme="minorHAnsi" w:hAnsiTheme="minorHAnsi"/>
                <w:sz w:val="22"/>
                <w:szCs w:val="22"/>
              </w:rPr>
            </w:pPr>
            <w:r w:rsidRPr="009F48BA">
              <w:rPr>
                <w:rFonts w:asciiTheme="minorHAnsi" w:hAnsiTheme="minorHAnsi"/>
                <w:b/>
                <w:bCs/>
                <w:i/>
                <w:iCs/>
                <w:sz w:val="22"/>
                <w:szCs w:val="22"/>
              </w:rPr>
              <w:t>(200.456)</w:t>
            </w:r>
          </w:p>
        </w:tc>
        <w:tc>
          <w:tcPr>
            <w:tcW w:w="12283" w:type="dxa"/>
          </w:tcPr>
          <w:p w14:paraId="027FC1E8" w14:textId="358C9513" w:rsidR="00C24875" w:rsidRPr="00744180" w:rsidRDefault="00C94471" w:rsidP="00744180">
            <w:pPr>
              <w:pStyle w:val="Default"/>
              <w:jc w:val="both"/>
              <w:rPr>
                <w:rFonts w:asciiTheme="minorHAnsi" w:hAnsiTheme="minorHAnsi"/>
                <w:sz w:val="22"/>
                <w:szCs w:val="22"/>
              </w:rPr>
            </w:pPr>
            <w:r>
              <w:rPr>
                <w:rFonts w:asciiTheme="minorHAnsi" w:hAnsiTheme="minorHAnsi"/>
                <w:sz w:val="22"/>
                <w:szCs w:val="22"/>
              </w:rPr>
              <w:t>200.456 states that p</w:t>
            </w:r>
            <w:r w:rsidR="00C24875" w:rsidRPr="00744180">
              <w:rPr>
                <w:rFonts w:asciiTheme="minorHAnsi" w:hAnsiTheme="minorHAnsi"/>
                <w:sz w:val="22"/>
                <w:szCs w:val="22"/>
              </w:rPr>
              <w:t>articipant support costs</w:t>
            </w:r>
            <w:r w:rsidR="00AE6C87">
              <w:rPr>
                <w:rFonts w:asciiTheme="minorHAnsi" w:hAnsiTheme="minorHAnsi"/>
                <w:sz w:val="22"/>
                <w:szCs w:val="22"/>
              </w:rPr>
              <w:t>,</w:t>
            </w:r>
            <w:r w:rsidR="00C24875" w:rsidRPr="00744180">
              <w:rPr>
                <w:rFonts w:asciiTheme="minorHAnsi" w:hAnsiTheme="minorHAnsi"/>
                <w:sz w:val="22"/>
                <w:szCs w:val="22"/>
              </w:rPr>
              <w:t xml:space="preserve"> as defined in </w:t>
            </w:r>
            <w:r>
              <w:rPr>
                <w:rFonts w:asciiTheme="minorHAnsi" w:hAnsiTheme="minorHAnsi"/>
                <w:sz w:val="22"/>
                <w:szCs w:val="22"/>
              </w:rPr>
              <w:t xml:space="preserve">Subpart A. Definitions, </w:t>
            </w:r>
            <w:r w:rsidR="00C24875" w:rsidRPr="00744180">
              <w:rPr>
                <w:rFonts w:asciiTheme="minorHAnsi" w:hAnsiTheme="minorHAnsi"/>
                <w:sz w:val="22"/>
                <w:szCs w:val="22"/>
              </w:rPr>
              <w:t>200.75</w:t>
            </w:r>
            <w:r w:rsidR="00AE6C87">
              <w:rPr>
                <w:rFonts w:asciiTheme="minorHAnsi" w:hAnsiTheme="minorHAnsi"/>
                <w:sz w:val="22"/>
                <w:szCs w:val="22"/>
              </w:rPr>
              <w:t>,</w:t>
            </w:r>
            <w:r w:rsidR="00C24875" w:rsidRPr="00744180">
              <w:rPr>
                <w:rFonts w:asciiTheme="minorHAnsi" w:hAnsiTheme="minorHAnsi"/>
                <w:sz w:val="22"/>
                <w:szCs w:val="22"/>
              </w:rPr>
              <w:t xml:space="preserve"> are allowable with the prior approval of the Federal awarding agency but ar</w:t>
            </w:r>
            <w:r>
              <w:rPr>
                <w:rFonts w:asciiTheme="minorHAnsi" w:hAnsiTheme="minorHAnsi"/>
                <w:sz w:val="22"/>
                <w:szCs w:val="22"/>
              </w:rPr>
              <w:t>e excluded from the MTDC base (s</w:t>
            </w:r>
            <w:r w:rsidR="00C24875" w:rsidRPr="00744180">
              <w:rPr>
                <w:rFonts w:asciiTheme="minorHAnsi" w:hAnsiTheme="minorHAnsi"/>
                <w:sz w:val="22"/>
                <w:szCs w:val="22"/>
              </w:rPr>
              <w:t xml:space="preserve">ee </w:t>
            </w:r>
            <w:r w:rsidR="002641E2">
              <w:rPr>
                <w:rFonts w:asciiTheme="minorHAnsi" w:hAnsiTheme="minorHAnsi"/>
                <w:sz w:val="22"/>
                <w:szCs w:val="22"/>
              </w:rPr>
              <w:t>Subpart A. Definitions</w:t>
            </w:r>
            <w:r w:rsidR="002641E2" w:rsidRPr="00744180">
              <w:rPr>
                <w:rFonts w:asciiTheme="minorHAnsi" w:hAnsiTheme="minorHAnsi"/>
                <w:sz w:val="22"/>
                <w:szCs w:val="22"/>
              </w:rPr>
              <w:t xml:space="preserve"> </w:t>
            </w:r>
            <w:r w:rsidR="00C24875" w:rsidRPr="00744180">
              <w:rPr>
                <w:rFonts w:asciiTheme="minorHAnsi" w:hAnsiTheme="minorHAnsi"/>
                <w:sz w:val="22"/>
                <w:szCs w:val="22"/>
              </w:rPr>
              <w:t>200.68).</w:t>
            </w:r>
          </w:p>
          <w:p w14:paraId="7A3E9368" w14:textId="77777777" w:rsidR="00C24875" w:rsidRDefault="00C24875" w:rsidP="00744180">
            <w:pPr>
              <w:pStyle w:val="Default"/>
              <w:jc w:val="both"/>
              <w:rPr>
                <w:rFonts w:asciiTheme="minorHAnsi" w:hAnsiTheme="minorHAnsi"/>
                <w:sz w:val="22"/>
                <w:szCs w:val="22"/>
              </w:rPr>
            </w:pPr>
          </w:p>
          <w:p w14:paraId="5D4752D3" w14:textId="77777777" w:rsidR="002641E2" w:rsidRPr="00922443" w:rsidRDefault="002641E2" w:rsidP="002641E2">
            <w:pPr>
              <w:pStyle w:val="TableContents"/>
              <w:jc w:val="both"/>
              <w:rPr>
                <w:rFonts w:asciiTheme="minorHAnsi" w:hAnsiTheme="minorHAnsi"/>
                <w:b/>
                <w: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Pr="00922443">
              <w:rPr>
                <w:rFonts w:asciiTheme="minorHAnsi" w:hAnsiTheme="minorHAnsi"/>
                <w:b/>
                <w:i/>
                <w:sz w:val="22"/>
                <w:szCs w:val="22"/>
              </w:rPr>
              <w:t>:</w:t>
            </w:r>
          </w:p>
          <w:p w14:paraId="6BEA88E8" w14:textId="77777777" w:rsidR="002641E2" w:rsidRPr="002641E2" w:rsidRDefault="002641E2" w:rsidP="00744180">
            <w:pPr>
              <w:pStyle w:val="Default"/>
              <w:jc w:val="both"/>
              <w:rPr>
                <w:rFonts w:asciiTheme="minorHAnsi" w:hAnsiTheme="minorHAnsi"/>
                <w:sz w:val="12"/>
                <w:szCs w:val="12"/>
              </w:rPr>
            </w:pPr>
          </w:p>
          <w:p w14:paraId="07BF4216" w14:textId="77777777" w:rsidR="002641E2" w:rsidRDefault="002641E2" w:rsidP="002641E2">
            <w:pPr>
              <w:pStyle w:val="ListParagraph"/>
              <w:numPr>
                <w:ilvl w:val="0"/>
                <w:numId w:val="38"/>
              </w:numPr>
              <w:autoSpaceDE w:val="0"/>
              <w:autoSpaceDN w:val="0"/>
              <w:adjustRightInd w:val="0"/>
              <w:jc w:val="both"/>
              <w:rPr>
                <w:rFonts w:ascii="Calibri" w:hAnsi="Calibri"/>
                <w:sz w:val="22"/>
                <w:szCs w:val="22"/>
              </w:rPr>
            </w:pPr>
            <w:r>
              <w:rPr>
                <w:rFonts w:ascii="Calibri" w:eastAsia="Calibri" w:hAnsi="Calibri" w:cs="Calibri"/>
                <w:color w:val="000000"/>
                <w:sz w:val="22"/>
                <w:szCs w:val="22"/>
                <w:u w:color="000000"/>
              </w:rPr>
              <w:t xml:space="preserve">Review UG and agency </w:t>
            </w:r>
            <w:r w:rsidRPr="006B3099">
              <w:rPr>
                <w:rFonts w:ascii="Calibri" w:eastAsia="Calibri" w:hAnsi="Calibri" w:cs="Calibri"/>
                <w:sz w:val="22"/>
                <w:szCs w:val="22"/>
                <w:u w:color="000000"/>
              </w:rPr>
              <w:t>definitions of participant support costs and compare to institutional definitions and policy</w:t>
            </w:r>
            <w:r w:rsidRPr="006B3099">
              <w:rPr>
                <w:rFonts w:ascii="Calibri" w:hAnsi="Calibri"/>
                <w:sz w:val="22"/>
                <w:szCs w:val="22"/>
              </w:rPr>
              <w:t>.</w:t>
            </w:r>
          </w:p>
          <w:p w14:paraId="7EC01735" w14:textId="7E8B8398" w:rsidR="002641E2" w:rsidRPr="002641E2" w:rsidRDefault="00C0218D" w:rsidP="002641E2">
            <w:pPr>
              <w:pStyle w:val="ListParagraph"/>
              <w:numPr>
                <w:ilvl w:val="0"/>
                <w:numId w:val="38"/>
              </w:numPr>
              <w:autoSpaceDE w:val="0"/>
              <w:autoSpaceDN w:val="0"/>
              <w:adjustRightInd w:val="0"/>
              <w:jc w:val="both"/>
              <w:rPr>
                <w:rFonts w:ascii="Calibri" w:hAnsi="Calibri"/>
                <w:sz w:val="22"/>
                <w:szCs w:val="22"/>
              </w:rPr>
            </w:pPr>
            <w:r w:rsidRPr="00744180">
              <w:rPr>
                <w:sz w:val="22"/>
                <w:szCs w:val="22"/>
              </w:rPr>
              <w:t>Consider system</w:t>
            </w:r>
            <w:r>
              <w:rPr>
                <w:sz w:val="22"/>
                <w:szCs w:val="22"/>
              </w:rPr>
              <w:t>/accounting</w:t>
            </w:r>
            <w:r w:rsidRPr="00744180">
              <w:rPr>
                <w:sz w:val="22"/>
                <w:szCs w:val="22"/>
              </w:rPr>
              <w:t xml:space="preserve"> changes to </w:t>
            </w:r>
            <w:r>
              <w:rPr>
                <w:sz w:val="22"/>
                <w:szCs w:val="22"/>
              </w:rPr>
              <w:t xml:space="preserve">identify and </w:t>
            </w:r>
            <w:r w:rsidRPr="00744180">
              <w:rPr>
                <w:sz w:val="22"/>
                <w:szCs w:val="22"/>
              </w:rPr>
              <w:t>account for participant support costs</w:t>
            </w:r>
            <w:r>
              <w:rPr>
                <w:sz w:val="22"/>
                <w:szCs w:val="22"/>
              </w:rPr>
              <w:t xml:space="preserve"> that will allow for correct treatment in defining MTDC for F&amp;A rate development purposes</w:t>
            </w:r>
            <w:r w:rsidR="002641E2">
              <w:rPr>
                <w:sz w:val="22"/>
                <w:szCs w:val="22"/>
              </w:rPr>
              <w:t>.</w:t>
            </w:r>
          </w:p>
          <w:p w14:paraId="084DB1B1" w14:textId="10427193" w:rsidR="002641E2" w:rsidRPr="006B3099" w:rsidRDefault="00C0218D" w:rsidP="002641E2">
            <w:pPr>
              <w:pStyle w:val="ListParagraph"/>
              <w:numPr>
                <w:ilvl w:val="0"/>
                <w:numId w:val="38"/>
              </w:numPr>
              <w:autoSpaceDE w:val="0"/>
              <w:autoSpaceDN w:val="0"/>
              <w:adjustRightInd w:val="0"/>
              <w:jc w:val="both"/>
              <w:rPr>
                <w:rFonts w:ascii="Calibri" w:hAnsi="Calibri"/>
                <w:sz w:val="22"/>
                <w:szCs w:val="22"/>
              </w:rPr>
            </w:pPr>
            <w:r>
              <w:rPr>
                <w:sz w:val="22"/>
                <w:szCs w:val="22"/>
              </w:rPr>
              <w:t xml:space="preserve">Train appropriate staff (e.g., those </w:t>
            </w:r>
            <w:r w:rsidR="002641E2" w:rsidRPr="00744180">
              <w:rPr>
                <w:sz w:val="22"/>
                <w:szCs w:val="22"/>
              </w:rPr>
              <w:t>preparing budgets for sponsored project proposals</w:t>
            </w:r>
            <w:r>
              <w:rPr>
                <w:sz w:val="22"/>
                <w:szCs w:val="22"/>
              </w:rPr>
              <w:t>)</w:t>
            </w:r>
            <w:r w:rsidR="002641E2" w:rsidRPr="00744180">
              <w:rPr>
                <w:sz w:val="22"/>
                <w:szCs w:val="22"/>
              </w:rPr>
              <w:t xml:space="preserve"> </w:t>
            </w:r>
            <w:r>
              <w:rPr>
                <w:sz w:val="22"/>
                <w:szCs w:val="22"/>
              </w:rPr>
              <w:t xml:space="preserve">so that </w:t>
            </w:r>
            <w:r w:rsidR="002641E2">
              <w:rPr>
                <w:sz w:val="22"/>
                <w:szCs w:val="22"/>
              </w:rPr>
              <w:t>F&amp;A</w:t>
            </w:r>
            <w:r w:rsidR="002641E2" w:rsidRPr="00744180">
              <w:rPr>
                <w:sz w:val="22"/>
                <w:szCs w:val="22"/>
              </w:rPr>
              <w:t xml:space="preserve"> </w:t>
            </w:r>
            <w:r>
              <w:rPr>
                <w:sz w:val="22"/>
                <w:szCs w:val="22"/>
              </w:rPr>
              <w:t xml:space="preserve">is not </w:t>
            </w:r>
            <w:r w:rsidR="002641E2" w:rsidRPr="00744180">
              <w:rPr>
                <w:sz w:val="22"/>
                <w:szCs w:val="22"/>
              </w:rPr>
              <w:t>applied to participant support costs</w:t>
            </w:r>
            <w:r w:rsidR="002641E2">
              <w:rPr>
                <w:sz w:val="22"/>
                <w:szCs w:val="22"/>
              </w:rPr>
              <w:t>.</w:t>
            </w:r>
          </w:p>
          <w:p w14:paraId="0A95383E" w14:textId="77777777" w:rsidR="00C24875" w:rsidRPr="00744180" w:rsidRDefault="00C24875" w:rsidP="00C0218D">
            <w:pPr>
              <w:pStyle w:val="PlainText"/>
              <w:jc w:val="both"/>
              <w:rPr>
                <w:rFonts w:asciiTheme="minorHAnsi" w:eastAsia="Times Roman" w:hAnsiTheme="minorHAnsi" w:cs="Times Roman"/>
                <w:sz w:val="22"/>
                <w:szCs w:val="22"/>
              </w:rPr>
            </w:pPr>
          </w:p>
        </w:tc>
      </w:tr>
      <w:tr w:rsidR="000457A9" w:rsidRPr="004A46A7" w14:paraId="6C1984E6" w14:textId="77777777" w:rsidTr="000D538B">
        <w:trPr>
          <w:trHeight w:val="432"/>
        </w:trPr>
        <w:tc>
          <w:tcPr>
            <w:tcW w:w="518" w:type="dxa"/>
          </w:tcPr>
          <w:p w14:paraId="2A5404EA" w14:textId="0A6DF2CA" w:rsidR="000457A9" w:rsidRDefault="00937D34" w:rsidP="00937D34">
            <w:pPr>
              <w:pStyle w:val="TableContents"/>
              <w:jc w:val="center"/>
              <w:rPr>
                <w:rFonts w:asciiTheme="minorHAnsi" w:hAnsiTheme="minorHAnsi"/>
                <w:b/>
                <w:bCs/>
                <w:sz w:val="22"/>
                <w:szCs w:val="22"/>
              </w:rPr>
            </w:pPr>
            <w:r>
              <w:rPr>
                <w:rFonts w:asciiTheme="minorHAnsi" w:hAnsiTheme="minorHAnsi"/>
                <w:b/>
                <w:bCs/>
                <w:sz w:val="22"/>
                <w:szCs w:val="22"/>
              </w:rPr>
              <w:t>7</w:t>
            </w:r>
            <w:r w:rsidR="000457A9">
              <w:rPr>
                <w:rFonts w:asciiTheme="minorHAnsi" w:hAnsiTheme="minorHAnsi"/>
                <w:b/>
                <w:bCs/>
                <w:sz w:val="22"/>
                <w:szCs w:val="22"/>
              </w:rPr>
              <w:t>.</w:t>
            </w:r>
          </w:p>
        </w:tc>
        <w:tc>
          <w:tcPr>
            <w:tcW w:w="1872" w:type="dxa"/>
          </w:tcPr>
          <w:p w14:paraId="3269D2ED" w14:textId="6722C37D" w:rsidR="000457A9" w:rsidRPr="00C233FE" w:rsidRDefault="00C233FE" w:rsidP="006C4138">
            <w:pPr>
              <w:pStyle w:val="Default"/>
              <w:jc w:val="center"/>
              <w:rPr>
                <w:rFonts w:asciiTheme="minorHAnsi" w:eastAsia="Times Roman" w:hAnsiTheme="minorHAnsi" w:cs="Times Roman"/>
                <w:b/>
                <w:bCs/>
                <w:i/>
                <w:sz w:val="22"/>
                <w:szCs w:val="22"/>
              </w:rPr>
            </w:pPr>
            <w:r w:rsidRPr="00C233FE">
              <w:rPr>
                <w:rFonts w:asciiTheme="minorHAnsi" w:hAnsiTheme="minorHAnsi"/>
                <w:b/>
                <w:bCs/>
                <w:i/>
                <w:iCs/>
                <w:sz w:val="22"/>
                <w:szCs w:val="22"/>
              </w:rPr>
              <w:t>Publication costs</w:t>
            </w:r>
          </w:p>
          <w:p w14:paraId="20CD98E1" w14:textId="77777777" w:rsidR="000457A9" w:rsidRPr="00C233FE" w:rsidRDefault="000457A9" w:rsidP="006C4138">
            <w:pPr>
              <w:pStyle w:val="Default"/>
              <w:jc w:val="center"/>
              <w:rPr>
                <w:rFonts w:asciiTheme="minorHAnsi" w:eastAsia="Times Roman" w:hAnsiTheme="minorHAnsi" w:cs="Times Roman"/>
                <w:b/>
                <w:bCs/>
                <w:i/>
                <w:sz w:val="12"/>
                <w:szCs w:val="12"/>
              </w:rPr>
            </w:pPr>
          </w:p>
          <w:p w14:paraId="744D57A7" w14:textId="06182832" w:rsidR="000457A9" w:rsidRDefault="000457A9" w:rsidP="00C233FE">
            <w:pPr>
              <w:jc w:val="center"/>
              <w:rPr>
                <w:rFonts w:asciiTheme="minorHAnsi" w:hAnsiTheme="minorHAnsi"/>
                <w:bCs/>
                <w:sz w:val="22"/>
                <w:szCs w:val="22"/>
              </w:rPr>
            </w:pPr>
            <w:r w:rsidRPr="00C233FE">
              <w:rPr>
                <w:rFonts w:asciiTheme="minorHAnsi" w:hAnsiTheme="minorHAnsi"/>
                <w:bCs/>
                <w:i/>
                <w:sz w:val="22"/>
                <w:szCs w:val="22"/>
              </w:rPr>
              <w:t>(200.4</w:t>
            </w:r>
            <w:r w:rsidR="00C233FE">
              <w:rPr>
                <w:rFonts w:asciiTheme="minorHAnsi" w:hAnsiTheme="minorHAnsi"/>
                <w:bCs/>
                <w:i/>
                <w:sz w:val="22"/>
                <w:szCs w:val="22"/>
              </w:rPr>
              <w:t>61</w:t>
            </w:r>
            <w:r w:rsidRPr="00C233FE">
              <w:rPr>
                <w:rFonts w:asciiTheme="minorHAnsi" w:hAnsiTheme="minorHAnsi"/>
                <w:bCs/>
                <w:i/>
                <w:sz w:val="22"/>
                <w:szCs w:val="22"/>
              </w:rPr>
              <w:t>)</w:t>
            </w:r>
          </w:p>
        </w:tc>
        <w:tc>
          <w:tcPr>
            <w:tcW w:w="12283" w:type="dxa"/>
          </w:tcPr>
          <w:p w14:paraId="5310744A" w14:textId="0EB2F90C" w:rsidR="000457A9" w:rsidRPr="00C0218D" w:rsidRDefault="000457A9" w:rsidP="006C4138">
            <w:pPr>
              <w:pStyle w:val="Default"/>
              <w:jc w:val="both"/>
              <w:rPr>
                <w:rFonts w:asciiTheme="minorHAnsi" w:hAnsiTheme="minorHAnsi"/>
                <w:sz w:val="22"/>
                <w:szCs w:val="22"/>
              </w:rPr>
            </w:pPr>
            <w:r w:rsidRPr="00C0218D">
              <w:rPr>
                <w:rFonts w:asciiTheme="minorHAnsi" w:hAnsiTheme="minorHAnsi"/>
                <w:sz w:val="22"/>
                <w:szCs w:val="22"/>
              </w:rPr>
              <w:t>200.4</w:t>
            </w:r>
            <w:r w:rsidR="00C233FE" w:rsidRPr="00C0218D">
              <w:rPr>
                <w:rFonts w:asciiTheme="minorHAnsi" w:hAnsiTheme="minorHAnsi"/>
                <w:sz w:val="22"/>
                <w:szCs w:val="22"/>
              </w:rPr>
              <w:t>61(b)(3)</w:t>
            </w:r>
            <w:r w:rsidRPr="00C0218D">
              <w:rPr>
                <w:rFonts w:asciiTheme="minorHAnsi" w:hAnsiTheme="minorHAnsi"/>
                <w:sz w:val="22"/>
                <w:szCs w:val="22"/>
              </w:rPr>
              <w:t xml:space="preserve"> states </w:t>
            </w:r>
            <w:r w:rsidR="00C233FE" w:rsidRPr="00C0218D">
              <w:rPr>
                <w:rFonts w:asciiTheme="minorHAnsi" w:hAnsiTheme="minorHAnsi"/>
                <w:sz w:val="22"/>
                <w:szCs w:val="22"/>
              </w:rPr>
              <w:t>that p</w:t>
            </w:r>
            <w:r w:rsidR="00C233FE" w:rsidRPr="00C0218D">
              <w:rPr>
                <w:rFonts w:asciiTheme="minorHAnsi" w:eastAsia="Times New Roman" w:hAnsiTheme="minorHAnsi"/>
                <w:sz w:val="22"/>
                <w:szCs w:val="22"/>
              </w:rPr>
              <w:t>age charges for professional journals are allowable when they report work on an award and the journal levies charges impartially on all items published by the journal (whether or not under a federal award).  The costs of publication or sharing of research results may be charged even if incurred after the end date of the award but before award closeout</w:t>
            </w:r>
            <w:r w:rsidRPr="00C0218D">
              <w:rPr>
                <w:rFonts w:asciiTheme="minorHAnsi" w:hAnsiTheme="minorHAnsi"/>
                <w:sz w:val="22"/>
                <w:szCs w:val="22"/>
              </w:rPr>
              <w:t>.</w:t>
            </w:r>
          </w:p>
          <w:p w14:paraId="394A0A88" w14:textId="77777777" w:rsidR="000457A9" w:rsidRPr="00C0218D" w:rsidRDefault="000457A9" w:rsidP="006C4138">
            <w:pPr>
              <w:pStyle w:val="Default"/>
              <w:jc w:val="both"/>
              <w:rPr>
                <w:rFonts w:asciiTheme="minorHAnsi" w:hAnsiTheme="minorHAnsi"/>
                <w:sz w:val="22"/>
                <w:szCs w:val="22"/>
              </w:rPr>
            </w:pPr>
          </w:p>
          <w:p w14:paraId="6882E077" w14:textId="77777777" w:rsidR="000457A9" w:rsidRPr="00C0218D" w:rsidRDefault="000457A9" w:rsidP="006C4138">
            <w:pPr>
              <w:pStyle w:val="TableContents"/>
              <w:jc w:val="both"/>
              <w:rPr>
                <w:rFonts w:asciiTheme="minorHAnsi" w:hAnsiTheme="minorHAnsi"/>
                <w:b/>
                <w:i/>
                <w:sz w:val="22"/>
                <w:szCs w:val="22"/>
              </w:rPr>
            </w:pPr>
            <w:r w:rsidRPr="00C0218D">
              <w:rPr>
                <w:rFonts w:asciiTheme="minorHAnsi" w:hAnsiTheme="minorHAnsi"/>
                <w:b/>
                <w:i/>
                <w:sz w:val="22"/>
                <w:szCs w:val="22"/>
              </w:rPr>
              <w:t>POINTS TO CONSIDER:</w:t>
            </w:r>
          </w:p>
          <w:p w14:paraId="7FEA25FE" w14:textId="77777777" w:rsidR="000457A9" w:rsidRPr="00C0218D" w:rsidRDefault="000457A9" w:rsidP="006C4138">
            <w:pPr>
              <w:jc w:val="both"/>
              <w:rPr>
                <w:rFonts w:asciiTheme="minorHAnsi" w:hAnsiTheme="minorHAnsi"/>
                <w:b w:val="0"/>
                <w:sz w:val="12"/>
                <w:szCs w:val="12"/>
              </w:rPr>
            </w:pPr>
          </w:p>
          <w:p w14:paraId="42E486E8" w14:textId="41138B1E" w:rsidR="00C233FE" w:rsidRPr="00C0218D" w:rsidRDefault="00C233FE" w:rsidP="00C233FE">
            <w:pPr>
              <w:pStyle w:val="PlainText"/>
              <w:numPr>
                <w:ilvl w:val="0"/>
                <w:numId w:val="44"/>
              </w:numPr>
              <w:jc w:val="both"/>
              <w:rPr>
                <w:rFonts w:asciiTheme="minorHAnsi" w:eastAsia="Times New Roman" w:hAnsiTheme="minorHAnsi"/>
                <w:sz w:val="22"/>
                <w:szCs w:val="22"/>
              </w:rPr>
            </w:pPr>
            <w:r w:rsidRPr="00C0218D">
              <w:rPr>
                <w:rFonts w:asciiTheme="minorHAnsi" w:eastAsia="Times New Roman" w:hAnsiTheme="minorHAnsi"/>
                <w:sz w:val="22"/>
                <w:szCs w:val="22"/>
              </w:rPr>
              <w:lastRenderedPageBreak/>
              <w:t>Review current processes to determine how you will ensure that the journal applies its charges independent of fund source</w:t>
            </w:r>
          </w:p>
          <w:p w14:paraId="39DE831B" w14:textId="77777777" w:rsidR="00C233FE" w:rsidRPr="00C0218D" w:rsidRDefault="00C233FE" w:rsidP="00C233FE">
            <w:pPr>
              <w:pStyle w:val="PlainText"/>
              <w:numPr>
                <w:ilvl w:val="0"/>
                <w:numId w:val="44"/>
              </w:numPr>
              <w:jc w:val="both"/>
              <w:rPr>
                <w:rFonts w:asciiTheme="minorHAnsi" w:hAnsiTheme="minorHAnsi"/>
                <w:sz w:val="22"/>
                <w:szCs w:val="22"/>
              </w:rPr>
            </w:pPr>
            <w:r w:rsidRPr="00C0218D">
              <w:rPr>
                <w:rFonts w:asciiTheme="minorHAnsi" w:eastAsia="Times New Roman" w:hAnsiTheme="minorHAnsi"/>
                <w:sz w:val="22"/>
                <w:szCs w:val="22"/>
              </w:rPr>
              <w:t>Review internal procedures to determine if you will allow posting of publication charges after the end date of the award, but before closeout; and if so, during what period of time this will be permitted (e.g., without delaying closeout).</w:t>
            </w:r>
          </w:p>
          <w:p w14:paraId="562888EB" w14:textId="77777777" w:rsidR="00C233FE" w:rsidRDefault="00C233FE" w:rsidP="00C233FE">
            <w:pPr>
              <w:pStyle w:val="PlainText"/>
              <w:jc w:val="both"/>
              <w:rPr>
                <w:rFonts w:asciiTheme="minorHAnsi" w:hAnsiTheme="minorHAnsi"/>
                <w:sz w:val="22"/>
                <w:szCs w:val="22"/>
              </w:rPr>
            </w:pPr>
          </w:p>
        </w:tc>
      </w:tr>
      <w:tr w:rsidR="000457A9" w:rsidRPr="004A46A7" w14:paraId="2D5A971B" w14:textId="77777777" w:rsidTr="000D538B">
        <w:trPr>
          <w:trHeight w:val="432"/>
        </w:trPr>
        <w:tc>
          <w:tcPr>
            <w:tcW w:w="518" w:type="dxa"/>
          </w:tcPr>
          <w:p w14:paraId="7F8F608A" w14:textId="28586978" w:rsidR="000457A9" w:rsidRPr="009F48BA" w:rsidRDefault="000457A9" w:rsidP="00C24875">
            <w:pPr>
              <w:pStyle w:val="TableContents"/>
              <w:jc w:val="center"/>
              <w:rPr>
                <w:rFonts w:asciiTheme="minorHAnsi" w:hAnsiTheme="minorHAnsi"/>
                <w:b/>
                <w:sz w:val="22"/>
                <w:szCs w:val="22"/>
              </w:rPr>
            </w:pPr>
            <w:r>
              <w:rPr>
                <w:rFonts w:asciiTheme="minorHAnsi" w:hAnsiTheme="minorHAnsi"/>
                <w:b/>
                <w:bCs/>
                <w:sz w:val="22"/>
                <w:szCs w:val="22"/>
              </w:rPr>
              <w:lastRenderedPageBreak/>
              <w:t>8.</w:t>
            </w:r>
          </w:p>
        </w:tc>
        <w:tc>
          <w:tcPr>
            <w:tcW w:w="1872" w:type="dxa"/>
          </w:tcPr>
          <w:p w14:paraId="3A7798FA" w14:textId="4D20175D" w:rsidR="000457A9" w:rsidRDefault="000457A9" w:rsidP="000457A9">
            <w:pPr>
              <w:jc w:val="center"/>
              <w:rPr>
                <w:rFonts w:asciiTheme="minorHAnsi" w:hAnsiTheme="minorHAnsi"/>
                <w:bCs/>
                <w:sz w:val="22"/>
                <w:szCs w:val="22"/>
              </w:rPr>
            </w:pPr>
            <w:r>
              <w:rPr>
                <w:rFonts w:asciiTheme="minorHAnsi" w:hAnsiTheme="minorHAnsi"/>
                <w:bCs/>
                <w:sz w:val="22"/>
                <w:szCs w:val="22"/>
              </w:rPr>
              <w:t>Dependent t</w:t>
            </w:r>
            <w:r w:rsidRPr="009F48BA">
              <w:rPr>
                <w:rFonts w:asciiTheme="minorHAnsi" w:hAnsiTheme="minorHAnsi"/>
                <w:bCs/>
                <w:sz w:val="22"/>
                <w:szCs w:val="22"/>
              </w:rPr>
              <w:t>ravel</w:t>
            </w:r>
            <w:r>
              <w:rPr>
                <w:rFonts w:asciiTheme="minorHAnsi" w:hAnsiTheme="minorHAnsi"/>
                <w:bCs/>
                <w:sz w:val="22"/>
                <w:szCs w:val="22"/>
              </w:rPr>
              <w:t xml:space="preserve"> and commercial airfare</w:t>
            </w:r>
          </w:p>
          <w:p w14:paraId="264AF410" w14:textId="77777777" w:rsidR="000457A9" w:rsidRPr="000457A9" w:rsidRDefault="000457A9" w:rsidP="000457A9">
            <w:pPr>
              <w:jc w:val="center"/>
              <w:rPr>
                <w:rFonts w:asciiTheme="minorHAnsi" w:hAnsiTheme="minorHAnsi"/>
                <w:sz w:val="12"/>
                <w:szCs w:val="12"/>
              </w:rPr>
            </w:pPr>
          </w:p>
          <w:p w14:paraId="193478A1" w14:textId="77777777" w:rsidR="000457A9" w:rsidRPr="009F48BA" w:rsidRDefault="000457A9" w:rsidP="000457A9">
            <w:pPr>
              <w:pStyle w:val="TableContents"/>
              <w:jc w:val="center"/>
              <w:rPr>
                <w:rFonts w:asciiTheme="minorHAnsi" w:hAnsiTheme="minorHAnsi"/>
                <w:sz w:val="22"/>
                <w:szCs w:val="22"/>
              </w:rPr>
            </w:pPr>
            <w:r w:rsidRPr="009F48BA">
              <w:rPr>
                <w:rFonts w:asciiTheme="minorHAnsi" w:hAnsiTheme="minorHAnsi"/>
                <w:b/>
                <w:bCs/>
                <w:sz w:val="22"/>
                <w:szCs w:val="22"/>
              </w:rPr>
              <w:t>(200.474)</w:t>
            </w:r>
          </w:p>
        </w:tc>
        <w:tc>
          <w:tcPr>
            <w:tcW w:w="12283" w:type="dxa"/>
          </w:tcPr>
          <w:p w14:paraId="0D0468BF" w14:textId="23DAB6E8" w:rsidR="000457A9" w:rsidRPr="00C94471" w:rsidRDefault="000457A9" w:rsidP="00744180">
            <w:pPr>
              <w:pStyle w:val="TableContents"/>
              <w:jc w:val="both"/>
              <w:rPr>
                <w:rFonts w:asciiTheme="minorHAnsi" w:hAnsiTheme="minorHAnsi"/>
                <w:sz w:val="22"/>
                <w:szCs w:val="22"/>
              </w:rPr>
            </w:pPr>
            <w:r>
              <w:rPr>
                <w:rFonts w:asciiTheme="minorHAnsi" w:hAnsiTheme="minorHAnsi"/>
                <w:sz w:val="22"/>
                <w:szCs w:val="22"/>
              </w:rPr>
              <w:t>200.474(c) states that t</w:t>
            </w:r>
            <w:r w:rsidRPr="00744180">
              <w:rPr>
                <w:rFonts w:asciiTheme="minorHAnsi" w:hAnsiTheme="minorHAnsi"/>
                <w:sz w:val="22"/>
                <w:szCs w:val="22"/>
              </w:rPr>
              <w:t>emporary dependent care costs (as dependent is defined in 26 U.S.C</w:t>
            </w:r>
            <w:r w:rsidRPr="00C94471">
              <w:rPr>
                <w:rFonts w:asciiTheme="minorHAnsi" w:hAnsiTheme="minorHAnsi"/>
                <w:sz w:val="22"/>
                <w:szCs w:val="22"/>
              </w:rPr>
              <w:t>. 152)</w:t>
            </w:r>
            <w:r>
              <w:rPr>
                <w:rFonts w:asciiTheme="minorHAnsi" w:hAnsiTheme="minorHAnsi"/>
                <w:sz w:val="22"/>
                <w:szCs w:val="22"/>
              </w:rPr>
              <w:t>,</w:t>
            </w:r>
            <w:r w:rsidRPr="00C94471">
              <w:rPr>
                <w:rFonts w:asciiTheme="minorHAnsi" w:hAnsiTheme="minorHAnsi"/>
                <w:sz w:val="22"/>
                <w:szCs w:val="22"/>
              </w:rPr>
              <w:t xml:space="preserve"> above and beyond regular dependent care</w:t>
            </w:r>
            <w:r>
              <w:rPr>
                <w:rFonts w:asciiTheme="minorHAnsi" w:hAnsiTheme="minorHAnsi"/>
                <w:sz w:val="22"/>
                <w:szCs w:val="22"/>
              </w:rPr>
              <w:t>,</w:t>
            </w:r>
            <w:r w:rsidRPr="00C94471">
              <w:rPr>
                <w:rFonts w:asciiTheme="minorHAnsi" w:hAnsiTheme="minorHAnsi"/>
                <w:sz w:val="22"/>
                <w:szCs w:val="22"/>
              </w:rPr>
              <w:t xml:space="preserve"> that directly results from travel to conferences is allowable provided that:</w:t>
            </w:r>
          </w:p>
          <w:p w14:paraId="2C77E383" w14:textId="77777777" w:rsidR="000457A9" w:rsidRPr="00744180" w:rsidRDefault="000457A9" w:rsidP="00C0218D">
            <w:pPr>
              <w:pStyle w:val="TableContents"/>
              <w:ind w:left="288"/>
              <w:jc w:val="both"/>
              <w:rPr>
                <w:rFonts w:asciiTheme="minorHAnsi" w:hAnsiTheme="minorHAnsi"/>
                <w:sz w:val="22"/>
                <w:szCs w:val="22"/>
              </w:rPr>
            </w:pPr>
            <w:r w:rsidRPr="00744180">
              <w:rPr>
                <w:rFonts w:asciiTheme="minorHAnsi" w:hAnsiTheme="minorHAnsi"/>
                <w:sz w:val="22"/>
                <w:szCs w:val="22"/>
              </w:rPr>
              <w:t>(i) The costs are a direct result of the individual’s travel for the Federal award;</w:t>
            </w:r>
          </w:p>
          <w:p w14:paraId="0E5FD6DC" w14:textId="77777777" w:rsidR="000457A9" w:rsidRPr="00744180" w:rsidRDefault="000457A9" w:rsidP="00C0218D">
            <w:pPr>
              <w:pStyle w:val="TableContents"/>
              <w:ind w:left="288"/>
              <w:jc w:val="both"/>
              <w:rPr>
                <w:rFonts w:asciiTheme="minorHAnsi" w:hAnsiTheme="minorHAnsi"/>
                <w:sz w:val="22"/>
                <w:szCs w:val="22"/>
              </w:rPr>
            </w:pPr>
            <w:r w:rsidRPr="00744180">
              <w:rPr>
                <w:rFonts w:asciiTheme="minorHAnsi" w:hAnsiTheme="minorHAnsi"/>
                <w:sz w:val="22"/>
                <w:szCs w:val="22"/>
              </w:rPr>
              <w:t>(ii) The costs are consistent with the non-Federal entity’s documented travel policy for all entity travel;</w:t>
            </w:r>
          </w:p>
          <w:p w14:paraId="0DC2673A" w14:textId="77777777" w:rsidR="000457A9" w:rsidRPr="00744180" w:rsidRDefault="000457A9" w:rsidP="00C0218D">
            <w:pPr>
              <w:pStyle w:val="TableContents"/>
              <w:ind w:left="288"/>
              <w:jc w:val="both"/>
              <w:rPr>
                <w:rFonts w:asciiTheme="minorHAnsi" w:hAnsiTheme="minorHAnsi"/>
                <w:sz w:val="22"/>
                <w:szCs w:val="22"/>
              </w:rPr>
            </w:pPr>
            <w:r w:rsidRPr="00744180">
              <w:rPr>
                <w:rFonts w:asciiTheme="minorHAnsi" w:hAnsiTheme="minorHAnsi"/>
                <w:sz w:val="22"/>
                <w:szCs w:val="22"/>
              </w:rPr>
              <w:t>(iii) Are only temporary during the travel period.</w:t>
            </w:r>
          </w:p>
          <w:p w14:paraId="75FEE379" w14:textId="77777777" w:rsidR="000457A9" w:rsidRPr="000457A9" w:rsidRDefault="000457A9" w:rsidP="00744180">
            <w:pPr>
              <w:pStyle w:val="TableContents"/>
              <w:jc w:val="both"/>
              <w:rPr>
                <w:rFonts w:asciiTheme="minorHAnsi" w:hAnsiTheme="minorHAnsi"/>
                <w:sz w:val="12"/>
                <w:szCs w:val="12"/>
              </w:rPr>
            </w:pPr>
          </w:p>
          <w:p w14:paraId="27EB2945" w14:textId="6D9E4B67" w:rsidR="000457A9" w:rsidRDefault="000457A9" w:rsidP="00744180">
            <w:pPr>
              <w:pStyle w:val="TableContents"/>
              <w:jc w:val="both"/>
              <w:rPr>
                <w:rFonts w:asciiTheme="minorHAnsi" w:eastAsia="TrebuchetMS" w:hAnsiTheme="minorHAnsi" w:cs="TrebuchetMS"/>
                <w:kern w:val="0"/>
                <w:sz w:val="22"/>
                <w:szCs w:val="22"/>
              </w:rPr>
            </w:pPr>
            <w:r w:rsidRPr="00744180">
              <w:rPr>
                <w:rFonts w:asciiTheme="minorHAnsi" w:eastAsia="TrebuchetMS" w:hAnsiTheme="minorHAnsi" w:cs="TrebuchetMS"/>
                <w:kern w:val="0"/>
                <w:sz w:val="22"/>
                <w:szCs w:val="22"/>
              </w:rPr>
              <w:t xml:space="preserve">Travel costs for dependents are unallowable, except for travel of duration of six months or more with prior approval </w:t>
            </w:r>
            <w:r>
              <w:rPr>
                <w:rFonts w:asciiTheme="minorHAnsi" w:eastAsia="TrebuchetMS" w:hAnsiTheme="minorHAnsi" w:cs="TrebuchetMS"/>
                <w:kern w:val="0"/>
                <w:sz w:val="22"/>
                <w:szCs w:val="22"/>
              </w:rPr>
              <w:t>of the Federal awarding agency.</w:t>
            </w:r>
          </w:p>
          <w:p w14:paraId="5542412A" w14:textId="77777777" w:rsidR="000457A9" w:rsidRPr="000457A9" w:rsidRDefault="000457A9" w:rsidP="00744180">
            <w:pPr>
              <w:pStyle w:val="TableContents"/>
              <w:jc w:val="both"/>
              <w:rPr>
                <w:rFonts w:asciiTheme="minorHAnsi" w:eastAsia="TrebuchetMS" w:hAnsiTheme="minorHAnsi" w:cs="TrebuchetMS"/>
                <w:kern w:val="0"/>
                <w:sz w:val="12"/>
                <w:szCs w:val="12"/>
              </w:rPr>
            </w:pPr>
          </w:p>
          <w:p w14:paraId="05A50364" w14:textId="7694FC15" w:rsidR="000457A9" w:rsidRDefault="000457A9" w:rsidP="000457A9">
            <w:pPr>
              <w:pStyle w:val="TableContents"/>
              <w:jc w:val="both"/>
              <w:rPr>
                <w:rFonts w:asciiTheme="minorHAnsi" w:eastAsia="TrebuchetMS" w:hAnsiTheme="minorHAnsi" w:cs="TrebuchetMS"/>
                <w:kern w:val="0"/>
                <w:sz w:val="22"/>
                <w:szCs w:val="22"/>
              </w:rPr>
            </w:pPr>
            <w:r>
              <w:rPr>
                <w:rFonts w:asciiTheme="minorHAnsi" w:eastAsia="TrebuchetMS" w:hAnsiTheme="minorHAnsi" w:cs="TrebuchetMS"/>
                <w:kern w:val="0"/>
                <w:sz w:val="22"/>
                <w:szCs w:val="22"/>
              </w:rPr>
              <w:t>200.474(d)(1) refers to Commercial air travel and uses the following language: the “least expensive unrestricted accommodations class” offer by commercial airlines.  A-21 J.53 c(1) used the language “customary standard commercial airfare (coach or equivalent),</w:t>
            </w:r>
            <w:r w:rsidR="00937D34">
              <w:rPr>
                <w:rFonts w:asciiTheme="minorHAnsi" w:eastAsia="TrebuchetMS" w:hAnsiTheme="minorHAnsi" w:cs="TrebuchetMS"/>
                <w:kern w:val="0"/>
                <w:sz w:val="22"/>
                <w:szCs w:val="22"/>
              </w:rPr>
              <w:t xml:space="preserve"> … </w:t>
            </w:r>
            <w:r>
              <w:rPr>
                <w:rFonts w:asciiTheme="minorHAnsi" w:eastAsia="TrebuchetMS" w:hAnsiTheme="minorHAnsi" w:cs="TrebuchetMS"/>
                <w:kern w:val="0"/>
                <w:sz w:val="22"/>
                <w:szCs w:val="22"/>
              </w:rPr>
              <w:t>or the lowest commercial discount airfare”.</w:t>
            </w:r>
          </w:p>
          <w:p w14:paraId="546490FF" w14:textId="77777777" w:rsidR="000457A9" w:rsidRPr="00744180" w:rsidRDefault="000457A9" w:rsidP="000457A9">
            <w:pPr>
              <w:pStyle w:val="TableContents"/>
              <w:jc w:val="both"/>
              <w:rPr>
                <w:rFonts w:asciiTheme="minorHAnsi" w:hAnsiTheme="minorHAnsi"/>
                <w:sz w:val="22"/>
                <w:szCs w:val="22"/>
              </w:rPr>
            </w:pPr>
          </w:p>
          <w:p w14:paraId="267FBFFD" w14:textId="253DF2A6" w:rsidR="000457A9" w:rsidRPr="00922443" w:rsidRDefault="000457A9" w:rsidP="00BE10B7">
            <w:pPr>
              <w:pStyle w:val="TableContents"/>
              <w:jc w:val="both"/>
              <w:rPr>
                <w:rFonts w:asciiTheme="minorHAnsi" w:hAnsiTheme="minorHAnsi"/>
                <w:b/>
                <w:i/>
                <w:sz w:val="22"/>
                <w:szCs w:val="22"/>
              </w:rPr>
            </w:pPr>
            <w:r w:rsidRPr="00922443">
              <w:rPr>
                <w:rFonts w:asciiTheme="minorHAnsi" w:hAnsiTheme="minorHAnsi"/>
                <w:b/>
                <w:i/>
                <w:sz w:val="22"/>
                <w:szCs w:val="22"/>
              </w:rPr>
              <w:t xml:space="preserve">POINTS </w:t>
            </w:r>
            <w:r>
              <w:rPr>
                <w:rFonts w:asciiTheme="minorHAnsi" w:hAnsiTheme="minorHAnsi"/>
                <w:b/>
                <w:i/>
                <w:sz w:val="22"/>
                <w:szCs w:val="22"/>
              </w:rPr>
              <w:t>TO</w:t>
            </w:r>
            <w:r w:rsidRPr="00922443">
              <w:rPr>
                <w:rFonts w:asciiTheme="minorHAnsi" w:hAnsiTheme="minorHAnsi"/>
                <w:b/>
                <w:i/>
                <w:sz w:val="22"/>
                <w:szCs w:val="22"/>
              </w:rPr>
              <w:t xml:space="preserve"> CONSIDER:</w:t>
            </w:r>
          </w:p>
          <w:p w14:paraId="0DF50A48" w14:textId="77777777" w:rsidR="000457A9" w:rsidRPr="00922443" w:rsidRDefault="000457A9" w:rsidP="00BE10B7">
            <w:pPr>
              <w:jc w:val="both"/>
              <w:rPr>
                <w:rFonts w:ascii="Calibri" w:hAnsi="Calibri"/>
                <w:b w:val="0"/>
                <w:sz w:val="12"/>
                <w:szCs w:val="12"/>
              </w:rPr>
            </w:pPr>
          </w:p>
          <w:p w14:paraId="0C981692" w14:textId="5ABCEC73" w:rsidR="000457A9" w:rsidRPr="00BE10B7" w:rsidRDefault="000457A9" w:rsidP="004C28F6">
            <w:pPr>
              <w:pStyle w:val="PlainText"/>
              <w:numPr>
                <w:ilvl w:val="0"/>
                <w:numId w:val="30"/>
              </w:numPr>
              <w:jc w:val="both"/>
              <w:rPr>
                <w:rFonts w:ascii="Calibri" w:hAnsi="Calibri"/>
                <w:sz w:val="22"/>
                <w:szCs w:val="22"/>
              </w:rPr>
            </w:pPr>
            <w:r w:rsidRPr="00744180">
              <w:rPr>
                <w:rFonts w:asciiTheme="minorHAnsi" w:hAnsiTheme="minorHAnsi"/>
                <w:sz w:val="22"/>
                <w:szCs w:val="22"/>
              </w:rPr>
              <w:t>Consider performing a cost analysis for item (ii) above to estimate the cost to the institution of providing temporary dependent care costs institution-wide</w:t>
            </w:r>
            <w:r w:rsidRPr="00922443">
              <w:rPr>
                <w:rFonts w:asciiTheme="minorHAnsi" w:hAnsiTheme="minorHAnsi"/>
                <w:sz w:val="22"/>
                <w:szCs w:val="22"/>
              </w:rPr>
              <w:t>.</w:t>
            </w:r>
          </w:p>
          <w:p w14:paraId="1CC7E7DF" w14:textId="0826DF49" w:rsidR="000457A9" w:rsidRPr="00C0218D" w:rsidRDefault="000457A9" w:rsidP="004C28F6">
            <w:pPr>
              <w:pStyle w:val="PlainText"/>
              <w:numPr>
                <w:ilvl w:val="0"/>
                <w:numId w:val="30"/>
              </w:numPr>
              <w:jc w:val="both"/>
              <w:rPr>
                <w:rFonts w:ascii="Calibri" w:hAnsi="Calibri"/>
                <w:sz w:val="22"/>
                <w:szCs w:val="22"/>
              </w:rPr>
            </w:pPr>
            <w:r w:rsidRPr="00744180">
              <w:rPr>
                <w:rFonts w:asciiTheme="minorHAnsi" w:hAnsiTheme="minorHAnsi"/>
                <w:sz w:val="22"/>
                <w:szCs w:val="22"/>
              </w:rPr>
              <w:t xml:space="preserve">IHEs may consider adding an extraordinary dependent care program as a </w:t>
            </w:r>
            <w:r w:rsidRPr="00C0218D">
              <w:rPr>
                <w:rFonts w:asciiTheme="minorHAnsi" w:hAnsiTheme="minorHAnsi"/>
                <w:sz w:val="22"/>
                <w:szCs w:val="22"/>
              </w:rPr>
              <w:t>component of their Fringe Benefit rate, recognizing that it would take time to define and estimate the costs of the program, and to propose and negotiate the costs added to the Fringe Benefit rate.</w:t>
            </w:r>
          </w:p>
          <w:p w14:paraId="2C6FE6E3" w14:textId="002AE23B" w:rsidR="000457A9" w:rsidRPr="00C0218D" w:rsidRDefault="000457A9" w:rsidP="004C28F6">
            <w:pPr>
              <w:pStyle w:val="PlainText"/>
              <w:numPr>
                <w:ilvl w:val="0"/>
                <w:numId w:val="30"/>
              </w:numPr>
              <w:jc w:val="both"/>
              <w:rPr>
                <w:rFonts w:ascii="Calibri" w:hAnsi="Calibri"/>
                <w:sz w:val="22"/>
                <w:szCs w:val="22"/>
              </w:rPr>
            </w:pPr>
            <w:r w:rsidRPr="00C0218D">
              <w:rPr>
                <w:rFonts w:asciiTheme="minorHAnsi" w:eastAsia="Calibri" w:hAnsiTheme="minorHAnsi" w:cs="Calibri"/>
                <w:color w:val="000000"/>
                <w:sz w:val="22"/>
                <w:szCs w:val="22"/>
                <w:u w:color="000000"/>
              </w:rPr>
              <w:t>Consider whether an IHE should change policies from the lowest available fare (LAF) to “least</w:t>
            </w:r>
            <w:r w:rsidR="0056466D" w:rsidRPr="00C0218D">
              <w:rPr>
                <w:rFonts w:asciiTheme="minorHAnsi" w:eastAsia="Calibri" w:hAnsiTheme="minorHAnsi" w:cs="Calibri"/>
                <w:color w:val="000000"/>
                <w:sz w:val="22"/>
                <w:szCs w:val="22"/>
                <w:u w:color="000000"/>
              </w:rPr>
              <w:t xml:space="preserve"> expensive unrestricted class”. While this may represent a more expensive airfare, the Uniform Guidance allows this methodology.</w:t>
            </w:r>
          </w:p>
          <w:p w14:paraId="0E9C31B3" w14:textId="59E624AC" w:rsidR="000457A9" w:rsidRPr="00BE10B7" w:rsidRDefault="000457A9" w:rsidP="000457A9">
            <w:pPr>
              <w:pStyle w:val="PlainText"/>
              <w:ind w:left="360"/>
              <w:jc w:val="both"/>
              <w:rPr>
                <w:rFonts w:ascii="Calibri" w:hAnsi="Calibri"/>
                <w:sz w:val="22"/>
                <w:szCs w:val="22"/>
              </w:rPr>
            </w:pPr>
          </w:p>
        </w:tc>
      </w:tr>
    </w:tbl>
    <w:p w14:paraId="7BBA3FDD" w14:textId="77777777" w:rsidR="00743D57" w:rsidRDefault="00743D57" w:rsidP="00743D57">
      <w:pPr>
        <w:pStyle w:val="PlainText"/>
        <w:jc w:val="both"/>
        <w:rPr>
          <w:rFonts w:asciiTheme="minorHAnsi" w:hAnsiTheme="minorHAnsi" w:cs="Times New Roman"/>
          <w:sz w:val="22"/>
          <w:szCs w:val="22"/>
        </w:rPr>
      </w:pPr>
    </w:p>
    <w:p w14:paraId="7B97A7D1" w14:textId="271961B4" w:rsidR="000457A9" w:rsidRDefault="000457A9">
      <w:pPr>
        <w:spacing w:after="200" w:line="276" w:lineRule="auto"/>
        <w:rPr>
          <w:rFonts w:asciiTheme="minorHAnsi" w:eastAsiaTheme="minorHAnsi" w:hAnsiTheme="minorHAnsi"/>
          <w:b w:val="0"/>
          <w:sz w:val="22"/>
          <w:szCs w:val="22"/>
        </w:rPr>
      </w:pPr>
      <w:r>
        <w:rPr>
          <w:rFonts w:asciiTheme="minorHAnsi" w:hAnsiTheme="minorHAnsi"/>
          <w:sz w:val="22"/>
          <w:szCs w:val="22"/>
        </w:rPr>
        <w:br w:type="page"/>
      </w:r>
    </w:p>
    <w:tbl>
      <w:tblPr>
        <w:tblStyle w:val="TableGrid"/>
        <w:tblW w:w="14673" w:type="dxa"/>
        <w:tblInd w:w="-162" w:type="dxa"/>
        <w:tblLayout w:type="fixed"/>
        <w:tblLook w:val="04A0" w:firstRow="1" w:lastRow="0" w:firstColumn="1" w:lastColumn="0" w:noHBand="0" w:noVBand="1"/>
      </w:tblPr>
      <w:tblGrid>
        <w:gridCol w:w="14673"/>
      </w:tblGrid>
      <w:tr w:rsidR="000457A9" w:rsidRPr="00F16946" w14:paraId="42613ACB" w14:textId="77777777" w:rsidTr="000457A9">
        <w:trPr>
          <w:trHeight w:val="288"/>
        </w:trPr>
        <w:tc>
          <w:tcPr>
            <w:tcW w:w="14673" w:type="dxa"/>
            <w:shd w:val="clear" w:color="auto" w:fill="EEECE1" w:themeFill="background2"/>
          </w:tcPr>
          <w:p w14:paraId="3FE95BE4" w14:textId="77777777" w:rsidR="000457A9" w:rsidRPr="003B390D" w:rsidRDefault="000457A9" w:rsidP="006C4138">
            <w:pPr>
              <w:pStyle w:val="NoSpacing"/>
              <w:jc w:val="center"/>
              <w:rPr>
                <w:b/>
                <w:i/>
                <w:sz w:val="12"/>
                <w:szCs w:val="12"/>
              </w:rPr>
            </w:pPr>
          </w:p>
          <w:p w14:paraId="76771803" w14:textId="77777777" w:rsidR="000457A9" w:rsidRPr="0029749C" w:rsidRDefault="000457A9" w:rsidP="006C4138">
            <w:pPr>
              <w:pStyle w:val="NoSpacing"/>
              <w:jc w:val="center"/>
              <w:rPr>
                <w:b/>
                <w:i/>
                <w:sz w:val="24"/>
                <w:szCs w:val="24"/>
              </w:rPr>
            </w:pPr>
            <w:r>
              <w:rPr>
                <w:b/>
                <w:i/>
                <w:sz w:val="24"/>
                <w:szCs w:val="24"/>
              </w:rPr>
              <w:t>F</w:t>
            </w:r>
            <w:r w:rsidRPr="0029749C">
              <w:rPr>
                <w:b/>
                <w:i/>
                <w:sz w:val="24"/>
                <w:szCs w:val="24"/>
              </w:rPr>
              <w:t xml:space="preserve">. </w:t>
            </w:r>
            <w:r>
              <w:rPr>
                <w:b/>
                <w:i/>
                <w:sz w:val="24"/>
                <w:szCs w:val="24"/>
              </w:rPr>
              <w:t>F&amp;A RATE PROPOSALS</w:t>
            </w:r>
          </w:p>
          <w:p w14:paraId="51E1114B" w14:textId="77777777" w:rsidR="000457A9" w:rsidRPr="00F16946" w:rsidRDefault="000457A9" w:rsidP="006C4138">
            <w:pPr>
              <w:pStyle w:val="NoSpacing"/>
              <w:jc w:val="both"/>
              <w:rPr>
                <w:b/>
                <w:i/>
                <w:sz w:val="8"/>
                <w:szCs w:val="8"/>
              </w:rPr>
            </w:pPr>
          </w:p>
        </w:tc>
      </w:tr>
    </w:tbl>
    <w:p w14:paraId="2786AECE" w14:textId="77777777" w:rsidR="000457A9" w:rsidRDefault="000457A9" w:rsidP="00743D57">
      <w:pPr>
        <w:pStyle w:val="PlainText"/>
        <w:jc w:val="both"/>
        <w:rPr>
          <w:rFonts w:asciiTheme="minorHAnsi" w:hAnsiTheme="minorHAnsi" w:cs="Times New Roman"/>
          <w:sz w:val="22"/>
          <w:szCs w:val="22"/>
        </w:rPr>
      </w:pPr>
    </w:p>
    <w:tbl>
      <w:tblPr>
        <w:tblStyle w:val="TableGrid"/>
        <w:tblW w:w="14400" w:type="dxa"/>
        <w:tblInd w:w="-162" w:type="dxa"/>
        <w:tblLayout w:type="fixed"/>
        <w:tblLook w:val="04A0" w:firstRow="1" w:lastRow="0" w:firstColumn="1" w:lastColumn="0" w:noHBand="0" w:noVBand="1"/>
      </w:tblPr>
      <w:tblGrid>
        <w:gridCol w:w="518"/>
        <w:gridCol w:w="1872"/>
        <w:gridCol w:w="12010"/>
      </w:tblGrid>
      <w:tr w:rsidR="00743D57" w:rsidRPr="00A116C4" w14:paraId="1C1C3442" w14:textId="77777777" w:rsidTr="00C81052">
        <w:trPr>
          <w:trHeight w:val="432"/>
        </w:trPr>
        <w:tc>
          <w:tcPr>
            <w:tcW w:w="518" w:type="dxa"/>
          </w:tcPr>
          <w:p w14:paraId="33310C5A" w14:textId="77777777" w:rsidR="00743D57" w:rsidRDefault="00743D57" w:rsidP="00597F76">
            <w:pPr>
              <w:pStyle w:val="PlainText"/>
              <w:jc w:val="center"/>
              <w:rPr>
                <w:rFonts w:asciiTheme="minorHAnsi" w:hAnsiTheme="minorHAnsi" w:cs="Times New Roman"/>
                <w:b/>
                <w:sz w:val="22"/>
                <w:szCs w:val="22"/>
              </w:rPr>
            </w:pPr>
          </w:p>
          <w:p w14:paraId="7BB3B754" w14:textId="77777777" w:rsidR="00743D57" w:rsidRPr="00A116C4" w:rsidRDefault="00743D57" w:rsidP="00597F76">
            <w:pPr>
              <w:pStyle w:val="PlainText"/>
              <w:jc w:val="center"/>
              <w:rPr>
                <w:rFonts w:asciiTheme="minorHAnsi" w:hAnsiTheme="minorHAnsi" w:cs="Times New Roman"/>
                <w:b/>
                <w:sz w:val="22"/>
                <w:szCs w:val="22"/>
              </w:rPr>
            </w:pPr>
            <w:r>
              <w:rPr>
                <w:rFonts w:asciiTheme="minorHAnsi" w:hAnsiTheme="minorHAnsi" w:cs="Times New Roman"/>
                <w:b/>
                <w:sz w:val="22"/>
                <w:szCs w:val="22"/>
              </w:rPr>
              <w:t>#</w:t>
            </w:r>
          </w:p>
        </w:tc>
        <w:tc>
          <w:tcPr>
            <w:tcW w:w="1872" w:type="dxa"/>
          </w:tcPr>
          <w:p w14:paraId="388CFB2A" w14:textId="77777777" w:rsidR="00743D57" w:rsidRDefault="00743D57" w:rsidP="00597F76">
            <w:pPr>
              <w:pStyle w:val="PlainText"/>
              <w:jc w:val="center"/>
              <w:rPr>
                <w:rFonts w:asciiTheme="minorHAnsi" w:hAnsiTheme="minorHAnsi" w:cs="Times New Roman"/>
                <w:b/>
                <w:sz w:val="22"/>
                <w:szCs w:val="22"/>
              </w:rPr>
            </w:pPr>
          </w:p>
          <w:p w14:paraId="138C5898" w14:textId="77777777" w:rsidR="00743D57" w:rsidRPr="00A116C4" w:rsidRDefault="00743D57" w:rsidP="00597F76">
            <w:pPr>
              <w:pStyle w:val="PlainText"/>
              <w:jc w:val="center"/>
              <w:rPr>
                <w:rFonts w:asciiTheme="minorHAnsi" w:hAnsiTheme="minorHAnsi" w:cs="Times New Roman"/>
                <w:b/>
                <w:sz w:val="22"/>
                <w:szCs w:val="22"/>
              </w:rPr>
            </w:pPr>
            <w:r>
              <w:rPr>
                <w:rFonts w:asciiTheme="minorHAnsi" w:hAnsiTheme="minorHAnsi" w:cs="Times New Roman"/>
                <w:b/>
                <w:sz w:val="22"/>
                <w:szCs w:val="22"/>
              </w:rPr>
              <w:t>Item</w:t>
            </w:r>
          </w:p>
        </w:tc>
        <w:tc>
          <w:tcPr>
            <w:tcW w:w="12010" w:type="dxa"/>
          </w:tcPr>
          <w:p w14:paraId="0A2F8CFF" w14:textId="77777777" w:rsidR="00743D57" w:rsidRDefault="00743D57" w:rsidP="00597F76">
            <w:pPr>
              <w:pStyle w:val="PlainText"/>
              <w:jc w:val="center"/>
              <w:rPr>
                <w:rFonts w:asciiTheme="minorHAnsi" w:hAnsiTheme="minorHAnsi" w:cs="Times New Roman"/>
                <w:b/>
                <w:sz w:val="22"/>
                <w:szCs w:val="22"/>
              </w:rPr>
            </w:pPr>
            <w:r>
              <w:rPr>
                <w:rFonts w:asciiTheme="minorHAnsi" w:hAnsiTheme="minorHAnsi" w:cs="Times New Roman"/>
                <w:b/>
                <w:sz w:val="22"/>
                <w:szCs w:val="22"/>
              </w:rPr>
              <w:t>Summary and</w:t>
            </w:r>
          </w:p>
          <w:p w14:paraId="5D40DAF1" w14:textId="09C4082D" w:rsidR="00743D57" w:rsidRPr="00A116C4" w:rsidRDefault="00743D57" w:rsidP="000457A9">
            <w:pPr>
              <w:pStyle w:val="PlainText"/>
              <w:jc w:val="center"/>
              <w:rPr>
                <w:rFonts w:asciiTheme="minorHAnsi" w:hAnsiTheme="minorHAnsi" w:cs="Times New Roman"/>
                <w:b/>
                <w:sz w:val="22"/>
                <w:szCs w:val="22"/>
              </w:rPr>
            </w:pPr>
            <w:r>
              <w:rPr>
                <w:rFonts w:asciiTheme="minorHAnsi" w:hAnsiTheme="minorHAnsi" w:cs="Times New Roman"/>
                <w:b/>
                <w:sz w:val="22"/>
                <w:szCs w:val="22"/>
              </w:rPr>
              <w:t xml:space="preserve">Points </w:t>
            </w:r>
            <w:r w:rsidR="000457A9">
              <w:rPr>
                <w:rFonts w:asciiTheme="minorHAnsi" w:hAnsiTheme="minorHAnsi" w:cs="Times New Roman"/>
                <w:b/>
                <w:sz w:val="22"/>
                <w:szCs w:val="22"/>
              </w:rPr>
              <w:t>to</w:t>
            </w:r>
            <w:r>
              <w:rPr>
                <w:rFonts w:asciiTheme="minorHAnsi" w:hAnsiTheme="minorHAnsi" w:cs="Times New Roman"/>
                <w:b/>
                <w:sz w:val="22"/>
                <w:szCs w:val="22"/>
              </w:rPr>
              <w:t xml:space="preserve"> Consider</w:t>
            </w:r>
          </w:p>
        </w:tc>
      </w:tr>
      <w:tr w:rsidR="00743D57" w:rsidRPr="004A46A7" w14:paraId="67935D74" w14:textId="77777777" w:rsidTr="00C81052">
        <w:trPr>
          <w:trHeight w:val="144"/>
        </w:trPr>
        <w:tc>
          <w:tcPr>
            <w:tcW w:w="518" w:type="dxa"/>
          </w:tcPr>
          <w:p w14:paraId="010D8040" w14:textId="77777777" w:rsidR="00743D57" w:rsidRDefault="00743D57" w:rsidP="00597F76">
            <w:pPr>
              <w:pStyle w:val="PlainText"/>
              <w:jc w:val="center"/>
              <w:rPr>
                <w:b/>
              </w:rPr>
            </w:pPr>
          </w:p>
        </w:tc>
        <w:tc>
          <w:tcPr>
            <w:tcW w:w="1872" w:type="dxa"/>
          </w:tcPr>
          <w:p w14:paraId="7DFDDA88" w14:textId="77777777" w:rsidR="00743D57" w:rsidRDefault="00743D57" w:rsidP="00597F76">
            <w:pPr>
              <w:pStyle w:val="PlainText"/>
              <w:jc w:val="center"/>
              <w:rPr>
                <w:rFonts w:asciiTheme="minorHAnsi" w:hAnsiTheme="minorHAnsi"/>
                <w:b/>
                <w:i/>
                <w:sz w:val="22"/>
                <w:szCs w:val="22"/>
              </w:rPr>
            </w:pPr>
          </w:p>
        </w:tc>
        <w:tc>
          <w:tcPr>
            <w:tcW w:w="12010" w:type="dxa"/>
          </w:tcPr>
          <w:p w14:paraId="0EB597F5" w14:textId="77777777" w:rsidR="00743D57" w:rsidRPr="00921CCA" w:rsidRDefault="00743D57" w:rsidP="00597F76">
            <w:pPr>
              <w:pStyle w:val="PlainText"/>
              <w:jc w:val="both"/>
              <w:rPr>
                <w:rFonts w:asciiTheme="minorHAnsi" w:hAnsiTheme="minorHAnsi" w:cs="Courier"/>
                <w:sz w:val="22"/>
                <w:szCs w:val="22"/>
              </w:rPr>
            </w:pPr>
          </w:p>
        </w:tc>
      </w:tr>
      <w:tr w:rsidR="00743D57" w:rsidRPr="004A46A7" w14:paraId="751546D3" w14:textId="77777777" w:rsidTr="00C81052">
        <w:trPr>
          <w:trHeight w:val="432"/>
        </w:trPr>
        <w:tc>
          <w:tcPr>
            <w:tcW w:w="518" w:type="dxa"/>
          </w:tcPr>
          <w:p w14:paraId="1B7527F9" w14:textId="77777777" w:rsidR="00743D57" w:rsidRPr="009F48BA" w:rsidRDefault="00743D57" w:rsidP="00597F76">
            <w:pPr>
              <w:pStyle w:val="PlainText"/>
              <w:jc w:val="center"/>
              <w:rPr>
                <w:rFonts w:asciiTheme="minorHAnsi" w:hAnsiTheme="minorHAnsi"/>
                <w:b/>
                <w:sz w:val="22"/>
                <w:szCs w:val="22"/>
              </w:rPr>
            </w:pPr>
            <w:r w:rsidRPr="009F48BA">
              <w:rPr>
                <w:rFonts w:asciiTheme="minorHAnsi" w:hAnsiTheme="minorHAnsi"/>
                <w:b/>
                <w:sz w:val="22"/>
                <w:szCs w:val="22"/>
              </w:rPr>
              <w:br w:type="page"/>
              <w:t>1</w:t>
            </w:r>
            <w:r w:rsidRPr="009F48BA">
              <w:rPr>
                <w:rFonts w:asciiTheme="minorHAnsi" w:hAnsiTheme="minorHAnsi" w:cs="Times New Roman"/>
                <w:b/>
                <w:sz w:val="22"/>
                <w:szCs w:val="22"/>
              </w:rPr>
              <w:t>.</w:t>
            </w:r>
          </w:p>
        </w:tc>
        <w:tc>
          <w:tcPr>
            <w:tcW w:w="1872" w:type="dxa"/>
          </w:tcPr>
          <w:p w14:paraId="788B4675" w14:textId="77777777" w:rsidR="00743D57" w:rsidRDefault="00743D57" w:rsidP="00597F76">
            <w:pPr>
              <w:pStyle w:val="PlainText"/>
              <w:jc w:val="center"/>
              <w:rPr>
                <w:rFonts w:asciiTheme="minorHAnsi" w:hAnsiTheme="minorHAnsi" w:cs="Times New Roman"/>
                <w:b/>
                <w:i/>
                <w:sz w:val="22"/>
                <w:szCs w:val="22"/>
              </w:rPr>
            </w:pPr>
            <w:r>
              <w:rPr>
                <w:rFonts w:asciiTheme="minorHAnsi" w:hAnsiTheme="minorHAnsi" w:cs="Times New Roman"/>
                <w:b/>
                <w:i/>
                <w:sz w:val="22"/>
                <w:szCs w:val="22"/>
              </w:rPr>
              <w:t>Treatment of cost sharing and losses in the research base</w:t>
            </w:r>
          </w:p>
          <w:p w14:paraId="121AEFE4" w14:textId="77777777" w:rsidR="00743D57" w:rsidRPr="00E30CDE" w:rsidRDefault="00743D57" w:rsidP="00597F76">
            <w:pPr>
              <w:pStyle w:val="PlainText"/>
              <w:jc w:val="center"/>
              <w:rPr>
                <w:rFonts w:asciiTheme="minorHAnsi" w:hAnsiTheme="minorHAnsi" w:cs="Times New Roman"/>
                <w:b/>
                <w:i/>
                <w:sz w:val="12"/>
                <w:szCs w:val="12"/>
              </w:rPr>
            </w:pPr>
          </w:p>
          <w:p w14:paraId="2E71BB32" w14:textId="77777777" w:rsidR="00743D57" w:rsidRDefault="00743D57" w:rsidP="00597F76">
            <w:pPr>
              <w:pStyle w:val="PlainText"/>
              <w:jc w:val="center"/>
              <w:rPr>
                <w:rFonts w:asciiTheme="minorHAnsi" w:hAnsiTheme="minorHAnsi" w:cs="Times New Roman"/>
                <w:b/>
                <w:i/>
                <w:sz w:val="22"/>
                <w:szCs w:val="22"/>
              </w:rPr>
            </w:pPr>
            <w:r>
              <w:rPr>
                <w:rFonts w:asciiTheme="minorHAnsi" w:hAnsiTheme="minorHAnsi" w:cs="Times New Roman"/>
                <w:b/>
                <w:i/>
                <w:sz w:val="22"/>
                <w:szCs w:val="22"/>
              </w:rPr>
              <w:t>(200.306 &amp;</w:t>
            </w:r>
          </w:p>
          <w:p w14:paraId="5C273DEF" w14:textId="77777777" w:rsidR="00743D57" w:rsidRPr="009F48BA" w:rsidRDefault="00743D57" w:rsidP="00597F76">
            <w:pPr>
              <w:pStyle w:val="PlainText"/>
              <w:jc w:val="center"/>
              <w:rPr>
                <w:rFonts w:asciiTheme="minorHAnsi" w:hAnsiTheme="minorHAnsi" w:cs="Times New Roman"/>
                <w:b/>
                <w:i/>
                <w:sz w:val="22"/>
                <w:szCs w:val="22"/>
              </w:rPr>
            </w:pPr>
            <w:r>
              <w:rPr>
                <w:rFonts w:asciiTheme="minorHAnsi" w:hAnsiTheme="minorHAnsi" w:cs="Times New Roman"/>
                <w:b/>
                <w:i/>
                <w:sz w:val="22"/>
                <w:szCs w:val="22"/>
              </w:rPr>
              <w:t>200.451)</w:t>
            </w:r>
          </w:p>
          <w:p w14:paraId="687FF2AE" w14:textId="77777777" w:rsidR="00743D57" w:rsidRPr="009F48BA" w:rsidRDefault="00743D57" w:rsidP="00597F76">
            <w:pPr>
              <w:pStyle w:val="PlainText"/>
              <w:jc w:val="center"/>
              <w:rPr>
                <w:rFonts w:asciiTheme="minorHAnsi" w:hAnsiTheme="minorHAnsi" w:cs="Times New Roman"/>
                <w:b/>
                <w:i/>
                <w:sz w:val="22"/>
                <w:szCs w:val="22"/>
              </w:rPr>
            </w:pPr>
          </w:p>
          <w:p w14:paraId="0F8DFCE4" w14:textId="77777777" w:rsidR="00743D57" w:rsidRPr="009F48BA" w:rsidRDefault="00743D57" w:rsidP="00597F76">
            <w:pPr>
              <w:pStyle w:val="PlainText"/>
              <w:jc w:val="center"/>
              <w:rPr>
                <w:rFonts w:asciiTheme="minorHAnsi" w:hAnsiTheme="minorHAnsi" w:cs="Times New Roman"/>
                <w:b/>
                <w:i/>
                <w:sz w:val="22"/>
                <w:szCs w:val="22"/>
              </w:rPr>
            </w:pPr>
          </w:p>
          <w:p w14:paraId="552B7E15" w14:textId="77777777" w:rsidR="00743D57" w:rsidRPr="009F48BA" w:rsidRDefault="00743D57" w:rsidP="00597F76">
            <w:pPr>
              <w:pStyle w:val="PlainText"/>
              <w:jc w:val="center"/>
              <w:rPr>
                <w:rFonts w:asciiTheme="minorHAnsi" w:hAnsiTheme="minorHAnsi" w:cs="Times New Roman"/>
                <w:b/>
                <w:i/>
                <w:sz w:val="22"/>
                <w:szCs w:val="22"/>
              </w:rPr>
            </w:pPr>
          </w:p>
        </w:tc>
        <w:tc>
          <w:tcPr>
            <w:tcW w:w="12010" w:type="dxa"/>
          </w:tcPr>
          <w:p w14:paraId="0090E1DF" w14:textId="7F37BB39" w:rsidR="00743D57" w:rsidRDefault="00743D57" w:rsidP="00597F76">
            <w:pPr>
              <w:autoSpaceDE w:val="0"/>
              <w:autoSpaceDN w:val="0"/>
              <w:adjustRightInd w:val="0"/>
              <w:jc w:val="both"/>
              <w:rPr>
                <w:rFonts w:asciiTheme="minorHAnsi" w:hAnsiTheme="minorHAnsi"/>
                <w:b w:val="0"/>
                <w:sz w:val="22"/>
                <w:szCs w:val="22"/>
              </w:rPr>
            </w:pPr>
            <w:r w:rsidRPr="00DB3AB6">
              <w:rPr>
                <w:rFonts w:asciiTheme="minorHAnsi" w:eastAsiaTheme="minorHAnsi" w:hAnsiTheme="minorHAnsi" w:cs="Courier"/>
                <w:b w:val="0"/>
                <w:sz w:val="22"/>
                <w:szCs w:val="22"/>
              </w:rPr>
              <w:t>200.306(a) s</w:t>
            </w:r>
            <w:r>
              <w:rPr>
                <w:rFonts w:asciiTheme="minorHAnsi" w:eastAsiaTheme="minorHAnsi" w:hAnsiTheme="minorHAnsi" w:cs="Courier"/>
                <w:b w:val="0"/>
                <w:sz w:val="22"/>
                <w:szCs w:val="22"/>
              </w:rPr>
              <w:t>tates</w:t>
            </w:r>
            <w:r w:rsidRPr="00DB3AB6">
              <w:rPr>
                <w:rFonts w:asciiTheme="minorHAnsi" w:eastAsiaTheme="minorHAnsi" w:hAnsiTheme="minorHAnsi" w:cs="Courier"/>
                <w:b w:val="0"/>
                <w:sz w:val="22"/>
                <w:szCs w:val="22"/>
              </w:rPr>
              <w:t xml:space="preserve"> that only mandatory cost sharing or cost sharing specifically committed in the project budget must be included in the organized research base. </w:t>
            </w:r>
            <w:r w:rsidRPr="00DB3AB6">
              <w:rPr>
                <w:rFonts w:asciiTheme="minorHAnsi" w:hAnsiTheme="minorHAnsi"/>
                <w:b w:val="0"/>
                <w:sz w:val="22"/>
                <w:szCs w:val="22"/>
              </w:rPr>
              <w:t>FAQ .458-2 confirms the</w:t>
            </w:r>
            <w:r>
              <w:rPr>
                <w:rFonts w:asciiTheme="minorHAnsi" w:hAnsiTheme="minorHAnsi"/>
                <w:b w:val="0"/>
                <w:sz w:val="22"/>
                <w:szCs w:val="22"/>
              </w:rPr>
              <w:t xml:space="preserve"> continued</w:t>
            </w:r>
            <w:r w:rsidRPr="00DB3AB6">
              <w:rPr>
                <w:rFonts w:asciiTheme="minorHAnsi" w:hAnsiTheme="minorHAnsi"/>
                <w:b w:val="0"/>
                <w:sz w:val="22"/>
                <w:szCs w:val="22"/>
              </w:rPr>
              <w:t xml:space="preserve"> applicability of the 2001 OMB memo</w:t>
            </w:r>
            <w:r>
              <w:rPr>
                <w:rFonts w:asciiTheme="minorHAnsi" w:hAnsiTheme="minorHAnsi"/>
                <w:b w:val="0"/>
                <w:sz w:val="22"/>
                <w:szCs w:val="22"/>
              </w:rPr>
              <w:t>randum</w:t>
            </w:r>
            <w:r w:rsidRPr="00DB3AB6">
              <w:rPr>
                <w:rFonts w:asciiTheme="minorHAnsi" w:hAnsiTheme="minorHAnsi"/>
                <w:b w:val="0"/>
                <w:sz w:val="22"/>
                <w:szCs w:val="22"/>
              </w:rPr>
              <w:t xml:space="preserve"> </w:t>
            </w:r>
            <w:r>
              <w:rPr>
                <w:rFonts w:asciiTheme="minorHAnsi" w:hAnsiTheme="minorHAnsi"/>
                <w:b w:val="0"/>
                <w:sz w:val="22"/>
                <w:szCs w:val="22"/>
              </w:rPr>
              <w:t>that addressed voluntary uncommitted cost share, M-01-06</w:t>
            </w:r>
            <w:r w:rsidRPr="00DB3AB6">
              <w:rPr>
                <w:rFonts w:asciiTheme="minorHAnsi" w:hAnsiTheme="minorHAnsi"/>
                <w:b w:val="0"/>
                <w:sz w:val="22"/>
                <w:szCs w:val="22"/>
              </w:rPr>
              <w:t>. FAQ .201-2 (addressing Fixed Amount Awards) also provides a clarification that salary costs above a Federal awarding agency’s cap are not mandatory cost-share or match but, instead, are the result of limitations on the amount of salary costs that may be charged.</w:t>
            </w:r>
          </w:p>
          <w:p w14:paraId="5135CD40" w14:textId="77777777" w:rsidR="00743D57" w:rsidRPr="00DB3AB6" w:rsidRDefault="00743D57" w:rsidP="00597F76">
            <w:pPr>
              <w:autoSpaceDE w:val="0"/>
              <w:autoSpaceDN w:val="0"/>
              <w:adjustRightInd w:val="0"/>
              <w:jc w:val="both"/>
              <w:rPr>
                <w:rFonts w:asciiTheme="minorHAnsi" w:hAnsiTheme="minorHAnsi"/>
                <w:b w:val="0"/>
                <w:sz w:val="12"/>
                <w:szCs w:val="12"/>
              </w:rPr>
            </w:pPr>
          </w:p>
          <w:p w14:paraId="180FF4A8" w14:textId="77777777" w:rsidR="00743D57" w:rsidRPr="00DB3AB6" w:rsidRDefault="00743D57" w:rsidP="00597F76">
            <w:pPr>
              <w:autoSpaceDE w:val="0"/>
              <w:autoSpaceDN w:val="0"/>
              <w:adjustRightInd w:val="0"/>
              <w:jc w:val="both"/>
              <w:rPr>
                <w:rFonts w:asciiTheme="minorHAnsi" w:hAnsiTheme="minorHAnsi"/>
                <w:b w:val="0"/>
                <w:sz w:val="22"/>
                <w:szCs w:val="22"/>
              </w:rPr>
            </w:pPr>
            <w:r>
              <w:rPr>
                <w:rFonts w:asciiTheme="minorHAnsi" w:hAnsiTheme="minorHAnsi"/>
                <w:b w:val="0"/>
                <w:sz w:val="22"/>
                <w:szCs w:val="22"/>
              </w:rPr>
              <w:t xml:space="preserve">200.451 specifies that </w:t>
            </w:r>
            <w:r w:rsidRPr="00E81DD9">
              <w:rPr>
                <w:rFonts w:asciiTheme="minorHAnsi" w:eastAsiaTheme="minorHAnsi" w:hAnsiTheme="minorHAnsi" w:cs="Courier"/>
                <w:b w:val="0"/>
                <w:sz w:val="22"/>
                <w:szCs w:val="22"/>
              </w:rPr>
              <w:t xml:space="preserve">losses </w:t>
            </w:r>
            <w:r>
              <w:rPr>
                <w:rFonts w:asciiTheme="minorHAnsi" w:eastAsiaTheme="minorHAnsi" w:hAnsiTheme="minorHAnsi" w:cs="Courier"/>
                <w:b w:val="0"/>
                <w:sz w:val="22"/>
                <w:szCs w:val="22"/>
              </w:rPr>
              <w:t>on awards a</w:t>
            </w:r>
            <w:r w:rsidRPr="00E81DD9">
              <w:rPr>
                <w:rFonts w:asciiTheme="minorHAnsi" w:eastAsiaTheme="minorHAnsi" w:hAnsiTheme="minorHAnsi" w:cs="Courier"/>
                <w:b w:val="0"/>
                <w:sz w:val="22"/>
                <w:szCs w:val="22"/>
              </w:rPr>
              <w:t>re not allowable indirect</w:t>
            </w:r>
            <w:r>
              <w:rPr>
                <w:rFonts w:asciiTheme="minorHAnsi" w:eastAsiaTheme="minorHAnsi" w:hAnsiTheme="minorHAnsi" w:cs="Courier"/>
                <w:b w:val="0"/>
                <w:sz w:val="22"/>
                <w:szCs w:val="22"/>
              </w:rPr>
              <w:t xml:space="preserve"> </w:t>
            </w:r>
            <w:r w:rsidRPr="00E81DD9">
              <w:rPr>
                <w:rFonts w:asciiTheme="minorHAnsi" w:eastAsiaTheme="minorHAnsi" w:hAnsiTheme="minorHAnsi" w:cs="Courier"/>
                <w:b w:val="0"/>
                <w:sz w:val="22"/>
                <w:szCs w:val="22"/>
              </w:rPr>
              <w:t>(F&amp;A) costs and are required to be included in the appropriate</w:t>
            </w:r>
            <w:r>
              <w:rPr>
                <w:rFonts w:asciiTheme="minorHAnsi" w:eastAsiaTheme="minorHAnsi" w:hAnsiTheme="minorHAnsi" w:cs="Courier"/>
                <w:b w:val="0"/>
                <w:sz w:val="22"/>
                <w:szCs w:val="22"/>
              </w:rPr>
              <w:t xml:space="preserve"> </w:t>
            </w:r>
            <w:r w:rsidRPr="00E81DD9">
              <w:rPr>
                <w:rFonts w:asciiTheme="minorHAnsi" w:eastAsiaTheme="minorHAnsi" w:hAnsiTheme="minorHAnsi" w:cs="Courier"/>
                <w:b w:val="0"/>
                <w:sz w:val="22"/>
                <w:szCs w:val="22"/>
              </w:rPr>
              <w:t xml:space="preserve">indirect cost rate base </w:t>
            </w:r>
            <w:r>
              <w:rPr>
                <w:rFonts w:asciiTheme="minorHAnsi" w:eastAsiaTheme="minorHAnsi" w:hAnsiTheme="minorHAnsi" w:cs="Courier"/>
                <w:b w:val="0"/>
                <w:sz w:val="22"/>
                <w:szCs w:val="22"/>
              </w:rPr>
              <w:t>to receive an</w:t>
            </w:r>
            <w:r w:rsidRPr="00E81DD9">
              <w:rPr>
                <w:rFonts w:asciiTheme="minorHAnsi" w:eastAsiaTheme="minorHAnsi" w:hAnsiTheme="minorHAnsi" w:cs="Courier"/>
                <w:b w:val="0"/>
                <w:sz w:val="22"/>
                <w:szCs w:val="22"/>
              </w:rPr>
              <w:t xml:space="preserve"> allocation of indirect costs</w:t>
            </w:r>
            <w:r>
              <w:rPr>
                <w:rFonts w:asciiTheme="minorHAnsi" w:eastAsiaTheme="minorHAnsi" w:hAnsiTheme="minorHAnsi" w:cs="Courier"/>
                <w:b w:val="0"/>
                <w:sz w:val="22"/>
                <w:szCs w:val="22"/>
              </w:rPr>
              <w:t>.</w:t>
            </w:r>
          </w:p>
          <w:p w14:paraId="37299F42" w14:textId="77777777" w:rsidR="00743D57" w:rsidRDefault="00743D57" w:rsidP="00597F76">
            <w:pPr>
              <w:autoSpaceDE w:val="0"/>
              <w:autoSpaceDN w:val="0"/>
              <w:adjustRightInd w:val="0"/>
              <w:jc w:val="both"/>
              <w:rPr>
                <w:rFonts w:asciiTheme="minorHAnsi" w:hAnsiTheme="minorHAnsi"/>
                <w:b w:val="0"/>
                <w:sz w:val="22"/>
                <w:szCs w:val="22"/>
              </w:rPr>
            </w:pPr>
          </w:p>
          <w:p w14:paraId="563901E1" w14:textId="2F7EC318" w:rsidR="00743D57" w:rsidRDefault="000457A9" w:rsidP="00743D57">
            <w:pPr>
              <w:pStyle w:val="Default"/>
              <w:jc w:val="both"/>
              <w:rPr>
                <w:rFonts w:asciiTheme="minorHAnsi" w:hAnsiTheme="minorHAns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743D57">
              <w:rPr>
                <w:rFonts w:asciiTheme="minorHAnsi" w:hAnsiTheme="minorHAnsi"/>
                <w:b/>
                <w:i/>
                <w:sz w:val="22"/>
                <w:szCs w:val="22"/>
              </w:rPr>
              <w:t>:</w:t>
            </w:r>
          </w:p>
          <w:p w14:paraId="640A0B46" w14:textId="77777777" w:rsidR="00743D57" w:rsidRPr="0035122B" w:rsidRDefault="00743D57" w:rsidP="00743D57">
            <w:pPr>
              <w:pStyle w:val="Default"/>
              <w:jc w:val="both"/>
              <w:rPr>
                <w:rFonts w:asciiTheme="minorHAnsi" w:hAnsiTheme="minorHAnsi"/>
                <w:sz w:val="12"/>
                <w:szCs w:val="12"/>
              </w:rPr>
            </w:pPr>
          </w:p>
          <w:p w14:paraId="705F63E7" w14:textId="0F3FE93F" w:rsidR="00743D57" w:rsidRPr="00743D57" w:rsidRDefault="00743D57" w:rsidP="004C28F6">
            <w:pPr>
              <w:pStyle w:val="Default"/>
              <w:numPr>
                <w:ilvl w:val="0"/>
                <w:numId w:val="31"/>
              </w:numPr>
              <w:jc w:val="both"/>
              <w:rPr>
                <w:rFonts w:asciiTheme="minorHAnsi" w:hAnsiTheme="minorHAnsi"/>
                <w:sz w:val="22"/>
                <w:szCs w:val="22"/>
              </w:rPr>
            </w:pPr>
            <w:r>
              <w:rPr>
                <w:rFonts w:eastAsia="Calibri"/>
                <w:sz w:val="22"/>
                <w:szCs w:val="22"/>
                <w:u w:color="000000"/>
              </w:rPr>
              <w:t>Develop institutional procedures for treatment of salary costs above a Federal awarding agency’s cap within the F&amp;A proposal. Since there is currently no specific requirement within the U</w:t>
            </w:r>
            <w:r w:rsidR="00C0218D">
              <w:rPr>
                <w:rFonts w:eastAsia="Calibri"/>
                <w:sz w:val="22"/>
                <w:szCs w:val="22"/>
                <w:u w:color="000000"/>
              </w:rPr>
              <w:t>G</w:t>
            </w:r>
            <w:r>
              <w:rPr>
                <w:rFonts w:eastAsia="Calibri"/>
                <w:sz w:val="22"/>
                <w:szCs w:val="22"/>
                <w:u w:color="000000"/>
              </w:rPr>
              <w:t xml:space="preserve"> to include these costs in the organized research base, look for potential opportunities for fair treatment of salary costs above the cap</w:t>
            </w:r>
            <w:r>
              <w:rPr>
                <w:rFonts w:asciiTheme="minorHAnsi" w:hAnsiTheme="minorHAnsi"/>
                <w:b/>
                <w:sz w:val="22"/>
                <w:szCs w:val="22"/>
              </w:rPr>
              <w:t>.</w:t>
            </w:r>
          </w:p>
          <w:p w14:paraId="0A067C13" w14:textId="5AC46A24" w:rsidR="00743D57" w:rsidRPr="00743D57" w:rsidRDefault="00743D57" w:rsidP="004C28F6">
            <w:pPr>
              <w:pStyle w:val="Default"/>
              <w:numPr>
                <w:ilvl w:val="0"/>
                <w:numId w:val="31"/>
              </w:numPr>
              <w:jc w:val="both"/>
              <w:rPr>
                <w:rFonts w:asciiTheme="minorHAnsi" w:hAnsiTheme="minorHAnsi"/>
                <w:sz w:val="22"/>
                <w:szCs w:val="22"/>
              </w:rPr>
            </w:pPr>
            <w:r>
              <w:rPr>
                <w:rFonts w:eastAsia="Calibri"/>
                <w:sz w:val="22"/>
                <w:szCs w:val="22"/>
                <w:u w:color="000000"/>
              </w:rPr>
              <w:t>Consider whether your institution will allow, not allow, or discourage voluntary committed cost sharing since agencies are not to consider it in merit reviews of applications or proposals, unless it is both in accordance with Federal awarding agency regulations and specified in a notice of funding opportunity.</w:t>
            </w:r>
          </w:p>
          <w:p w14:paraId="3C28C5A3" w14:textId="6FD94FC1" w:rsidR="00743D57" w:rsidRPr="00C94471" w:rsidRDefault="0015259D" w:rsidP="004C28F6">
            <w:pPr>
              <w:pStyle w:val="Default"/>
              <w:numPr>
                <w:ilvl w:val="0"/>
                <w:numId w:val="31"/>
              </w:numPr>
              <w:jc w:val="both"/>
              <w:rPr>
                <w:rFonts w:asciiTheme="minorHAnsi" w:hAnsiTheme="minorHAnsi"/>
                <w:sz w:val="22"/>
                <w:szCs w:val="22"/>
              </w:rPr>
            </w:pPr>
            <w:r>
              <w:rPr>
                <w:rFonts w:eastAsia="Calibri"/>
                <w:sz w:val="22"/>
                <w:szCs w:val="22"/>
                <w:u w:color="000000"/>
              </w:rPr>
              <w:t>As OMB M-01-06 remains applicable, a</w:t>
            </w:r>
            <w:r w:rsidR="00743D57">
              <w:rPr>
                <w:rFonts w:eastAsia="Calibri"/>
                <w:sz w:val="22"/>
                <w:szCs w:val="22"/>
                <w:u w:color="000000"/>
              </w:rPr>
              <w:t xml:space="preserve"> minimum level of committed effort still needs to be captured for faculty (or senior researchers) on most Federally-funded research programs, either paid or unpaid by the Federal Government.</w:t>
            </w:r>
          </w:p>
          <w:p w14:paraId="1D1621A4" w14:textId="62B04216" w:rsidR="00743D57" w:rsidRPr="00DB3AB6" w:rsidRDefault="00743D57" w:rsidP="00743D57">
            <w:pPr>
              <w:autoSpaceDE w:val="0"/>
              <w:autoSpaceDN w:val="0"/>
              <w:adjustRightInd w:val="0"/>
              <w:jc w:val="both"/>
              <w:rPr>
                <w:rFonts w:asciiTheme="minorHAnsi" w:eastAsiaTheme="minorHAnsi" w:hAnsiTheme="minorHAnsi" w:cs="Courier"/>
                <w:b w:val="0"/>
                <w:sz w:val="22"/>
                <w:szCs w:val="22"/>
              </w:rPr>
            </w:pPr>
            <w:r w:rsidDel="0063650A">
              <w:rPr>
                <w:rFonts w:ascii="Calibri" w:eastAsia="Calibri" w:hAnsi="Calibri" w:cs="Calibri"/>
                <w:color w:val="000000"/>
                <w:sz w:val="22"/>
                <w:szCs w:val="22"/>
                <w:u w:color="000000"/>
              </w:rPr>
              <w:t xml:space="preserve"> </w:t>
            </w:r>
          </w:p>
        </w:tc>
      </w:tr>
      <w:tr w:rsidR="00743D57" w:rsidRPr="004A46A7" w14:paraId="3FA53C84" w14:textId="77777777" w:rsidTr="00C81052">
        <w:trPr>
          <w:trHeight w:val="432"/>
        </w:trPr>
        <w:tc>
          <w:tcPr>
            <w:tcW w:w="518" w:type="dxa"/>
          </w:tcPr>
          <w:p w14:paraId="4C4AF9F9" w14:textId="0332E0E6" w:rsidR="00743D57" w:rsidRPr="009F48BA" w:rsidRDefault="00743D57" w:rsidP="00597F76">
            <w:pPr>
              <w:pStyle w:val="PlainText"/>
              <w:jc w:val="center"/>
              <w:rPr>
                <w:rFonts w:asciiTheme="minorHAnsi" w:hAnsiTheme="minorHAnsi" w:cs="Times New Roman"/>
                <w:b/>
                <w:sz w:val="22"/>
                <w:szCs w:val="22"/>
              </w:rPr>
            </w:pPr>
            <w:r w:rsidRPr="009F48BA">
              <w:rPr>
                <w:rFonts w:asciiTheme="minorHAnsi" w:hAnsiTheme="minorHAnsi"/>
                <w:b/>
                <w:sz w:val="22"/>
                <w:szCs w:val="22"/>
              </w:rPr>
              <w:br w:type="page"/>
            </w:r>
            <w:r>
              <w:rPr>
                <w:rFonts w:asciiTheme="minorHAnsi" w:hAnsiTheme="minorHAnsi"/>
                <w:b/>
                <w:sz w:val="22"/>
                <w:szCs w:val="22"/>
              </w:rPr>
              <w:t>2</w:t>
            </w:r>
            <w:r w:rsidRPr="009F48BA">
              <w:rPr>
                <w:rFonts w:asciiTheme="minorHAnsi" w:hAnsiTheme="minorHAnsi" w:cs="Times New Roman"/>
                <w:b/>
                <w:sz w:val="22"/>
                <w:szCs w:val="22"/>
              </w:rPr>
              <w:t>.</w:t>
            </w:r>
          </w:p>
        </w:tc>
        <w:tc>
          <w:tcPr>
            <w:tcW w:w="1872" w:type="dxa"/>
          </w:tcPr>
          <w:p w14:paraId="73649FE5" w14:textId="77777777" w:rsidR="00743D57" w:rsidRDefault="00743D57" w:rsidP="00597F76">
            <w:pPr>
              <w:pStyle w:val="PlainText"/>
              <w:jc w:val="center"/>
              <w:rPr>
                <w:rFonts w:asciiTheme="minorHAnsi" w:hAnsiTheme="minorHAnsi" w:cs="Times New Roman"/>
                <w:b/>
                <w:i/>
                <w:sz w:val="22"/>
                <w:szCs w:val="22"/>
              </w:rPr>
            </w:pPr>
            <w:r w:rsidRPr="009F48BA">
              <w:rPr>
                <w:rFonts w:asciiTheme="minorHAnsi" w:hAnsiTheme="minorHAnsi" w:cs="Times New Roman"/>
                <w:b/>
                <w:i/>
                <w:sz w:val="22"/>
                <w:szCs w:val="22"/>
              </w:rPr>
              <w:t xml:space="preserve">Request for </w:t>
            </w:r>
            <w:r>
              <w:rPr>
                <w:rFonts w:asciiTheme="minorHAnsi" w:hAnsiTheme="minorHAnsi" w:cs="Times New Roman"/>
                <w:b/>
                <w:i/>
                <w:sz w:val="22"/>
                <w:szCs w:val="22"/>
              </w:rPr>
              <w:t>a</w:t>
            </w:r>
          </w:p>
          <w:p w14:paraId="7656F73E" w14:textId="77777777" w:rsidR="00743D57" w:rsidRDefault="00743D57" w:rsidP="00597F76">
            <w:pPr>
              <w:pStyle w:val="PlainText"/>
              <w:jc w:val="center"/>
              <w:rPr>
                <w:rFonts w:asciiTheme="minorHAnsi" w:hAnsiTheme="minorHAnsi" w:cs="Times New Roman"/>
                <w:b/>
                <w:i/>
                <w:sz w:val="22"/>
                <w:szCs w:val="22"/>
              </w:rPr>
            </w:pPr>
            <w:r w:rsidRPr="009F48BA">
              <w:rPr>
                <w:rFonts w:asciiTheme="minorHAnsi" w:hAnsiTheme="minorHAnsi" w:cs="Times New Roman"/>
                <w:b/>
                <w:i/>
                <w:sz w:val="22"/>
                <w:szCs w:val="22"/>
              </w:rPr>
              <w:t>4-year rate extension</w:t>
            </w:r>
          </w:p>
          <w:p w14:paraId="01580AD3" w14:textId="77777777" w:rsidR="00743D57" w:rsidRPr="00E30CDE" w:rsidRDefault="00743D57" w:rsidP="00597F76">
            <w:pPr>
              <w:pStyle w:val="PlainText"/>
              <w:jc w:val="center"/>
              <w:rPr>
                <w:rFonts w:asciiTheme="minorHAnsi" w:hAnsiTheme="minorHAnsi" w:cs="Times New Roman"/>
                <w:b/>
                <w:i/>
                <w:sz w:val="12"/>
                <w:szCs w:val="12"/>
              </w:rPr>
            </w:pPr>
          </w:p>
          <w:p w14:paraId="29A3F986" w14:textId="77777777" w:rsidR="00743D57" w:rsidRPr="009F48BA" w:rsidRDefault="00743D57" w:rsidP="00597F76">
            <w:pPr>
              <w:pStyle w:val="PlainText"/>
              <w:jc w:val="center"/>
              <w:rPr>
                <w:rFonts w:asciiTheme="minorHAnsi" w:hAnsiTheme="minorHAnsi" w:cs="Times New Roman"/>
                <w:b/>
                <w:i/>
                <w:sz w:val="22"/>
                <w:szCs w:val="22"/>
              </w:rPr>
            </w:pPr>
            <w:r>
              <w:rPr>
                <w:rFonts w:asciiTheme="minorHAnsi" w:hAnsiTheme="minorHAnsi" w:cs="Times New Roman"/>
                <w:b/>
                <w:i/>
                <w:sz w:val="22"/>
                <w:szCs w:val="22"/>
              </w:rPr>
              <w:t>(200.414)</w:t>
            </w:r>
          </w:p>
          <w:p w14:paraId="12A85E5A" w14:textId="77777777" w:rsidR="00743D57" w:rsidRPr="009F48BA" w:rsidRDefault="00743D57" w:rsidP="00597F76">
            <w:pPr>
              <w:pStyle w:val="PlainText"/>
              <w:jc w:val="center"/>
              <w:rPr>
                <w:rFonts w:asciiTheme="minorHAnsi" w:hAnsiTheme="minorHAnsi" w:cs="Times New Roman"/>
                <w:b/>
                <w:i/>
                <w:sz w:val="22"/>
                <w:szCs w:val="22"/>
              </w:rPr>
            </w:pPr>
          </w:p>
          <w:p w14:paraId="60386B69" w14:textId="77777777" w:rsidR="00743D57" w:rsidRPr="009F48BA" w:rsidRDefault="00743D57" w:rsidP="00597F76">
            <w:pPr>
              <w:pStyle w:val="PlainText"/>
              <w:jc w:val="center"/>
              <w:rPr>
                <w:rFonts w:asciiTheme="minorHAnsi" w:hAnsiTheme="minorHAnsi" w:cs="Times New Roman"/>
                <w:b/>
                <w:i/>
                <w:sz w:val="22"/>
                <w:szCs w:val="22"/>
              </w:rPr>
            </w:pPr>
          </w:p>
          <w:p w14:paraId="6F7D92FD" w14:textId="77777777" w:rsidR="00743D57" w:rsidRPr="009F48BA" w:rsidRDefault="00743D57" w:rsidP="00597F76">
            <w:pPr>
              <w:pStyle w:val="PlainText"/>
              <w:jc w:val="center"/>
              <w:rPr>
                <w:rFonts w:asciiTheme="minorHAnsi" w:hAnsiTheme="minorHAnsi" w:cs="Times New Roman"/>
                <w:b/>
                <w:i/>
                <w:sz w:val="22"/>
                <w:szCs w:val="22"/>
              </w:rPr>
            </w:pPr>
          </w:p>
        </w:tc>
        <w:tc>
          <w:tcPr>
            <w:tcW w:w="12010" w:type="dxa"/>
          </w:tcPr>
          <w:p w14:paraId="3F7CF563" w14:textId="39E2C1B3" w:rsidR="00743D57" w:rsidRDefault="00743D57" w:rsidP="00597F76">
            <w:pPr>
              <w:autoSpaceDE w:val="0"/>
              <w:autoSpaceDN w:val="0"/>
              <w:adjustRightInd w:val="0"/>
              <w:jc w:val="both"/>
              <w:rPr>
                <w:rFonts w:asciiTheme="minorHAnsi" w:hAnsiTheme="minorHAnsi"/>
                <w:b w:val="0"/>
                <w:sz w:val="22"/>
                <w:szCs w:val="22"/>
              </w:rPr>
            </w:pPr>
            <w:r>
              <w:rPr>
                <w:rFonts w:asciiTheme="minorHAnsi" w:eastAsiaTheme="minorHAnsi" w:hAnsiTheme="minorHAnsi" w:cs="Courier"/>
                <w:b w:val="0"/>
                <w:sz w:val="22"/>
                <w:szCs w:val="22"/>
              </w:rPr>
              <w:t>200.414</w:t>
            </w:r>
            <w:r w:rsidRPr="00363C71">
              <w:rPr>
                <w:rFonts w:asciiTheme="minorHAnsi" w:eastAsiaTheme="minorHAnsi" w:hAnsiTheme="minorHAnsi" w:cs="Courier"/>
                <w:b w:val="0"/>
                <w:sz w:val="22"/>
                <w:szCs w:val="22"/>
              </w:rPr>
              <w:t xml:space="preserve">(g) </w:t>
            </w:r>
            <w:r w:rsidRPr="00363C71">
              <w:rPr>
                <w:rFonts w:asciiTheme="minorHAnsi" w:hAnsiTheme="minorHAnsi" w:cs="Courier"/>
                <w:b w:val="0"/>
                <w:sz w:val="22"/>
                <w:szCs w:val="22"/>
              </w:rPr>
              <w:t xml:space="preserve">allows for a one-time extension of the current negotiated indirect cost rate for a period of up to </w:t>
            </w:r>
            <w:r w:rsidRPr="00E30CDE">
              <w:rPr>
                <w:rFonts w:asciiTheme="minorHAnsi" w:hAnsiTheme="minorHAnsi" w:cs="Courier"/>
                <w:b w:val="0"/>
                <w:sz w:val="22"/>
                <w:szCs w:val="22"/>
              </w:rPr>
              <w:t xml:space="preserve">four years. </w:t>
            </w:r>
            <w:r>
              <w:rPr>
                <w:rFonts w:asciiTheme="minorHAnsi" w:hAnsiTheme="minorHAnsi" w:cs="Courier"/>
                <w:b w:val="0"/>
                <w:sz w:val="22"/>
                <w:szCs w:val="22"/>
              </w:rPr>
              <w:t>Th</w:t>
            </w:r>
            <w:r w:rsidR="0015259D">
              <w:rPr>
                <w:rFonts w:asciiTheme="minorHAnsi" w:hAnsiTheme="minorHAnsi" w:cs="Courier"/>
                <w:b w:val="0"/>
                <w:sz w:val="22"/>
                <w:szCs w:val="22"/>
              </w:rPr>
              <w:t>is refers to an e</w:t>
            </w:r>
            <w:r>
              <w:rPr>
                <w:rFonts w:asciiTheme="minorHAnsi" w:hAnsiTheme="minorHAnsi" w:cs="Courier"/>
                <w:b w:val="0"/>
                <w:sz w:val="22"/>
                <w:szCs w:val="22"/>
              </w:rPr>
              <w:t xml:space="preserve">xtension </w:t>
            </w:r>
            <w:r w:rsidR="0015259D">
              <w:rPr>
                <w:rFonts w:asciiTheme="minorHAnsi" w:hAnsiTheme="minorHAnsi" w:cs="Courier"/>
                <w:b w:val="0"/>
                <w:sz w:val="22"/>
                <w:szCs w:val="22"/>
              </w:rPr>
              <w:t xml:space="preserve">that changes </w:t>
            </w:r>
            <w:r>
              <w:rPr>
                <w:rFonts w:asciiTheme="minorHAnsi" w:hAnsiTheme="minorHAnsi" w:cs="Courier"/>
                <w:b w:val="0"/>
                <w:sz w:val="22"/>
                <w:szCs w:val="22"/>
              </w:rPr>
              <w:t xml:space="preserve">your base year, not an extension </w:t>
            </w:r>
            <w:r w:rsidR="0015259D">
              <w:rPr>
                <w:rFonts w:asciiTheme="minorHAnsi" w:hAnsiTheme="minorHAnsi" w:cs="Courier"/>
                <w:b w:val="0"/>
                <w:sz w:val="22"/>
                <w:szCs w:val="22"/>
              </w:rPr>
              <w:t xml:space="preserve">of the due date to </w:t>
            </w:r>
            <w:r>
              <w:rPr>
                <w:rFonts w:asciiTheme="minorHAnsi" w:hAnsiTheme="minorHAnsi" w:cs="Courier"/>
                <w:b w:val="0"/>
                <w:sz w:val="22"/>
                <w:szCs w:val="22"/>
              </w:rPr>
              <w:t xml:space="preserve">submit your proposal for the same base year.  </w:t>
            </w:r>
            <w:r w:rsidRPr="00E30CDE">
              <w:rPr>
                <w:rFonts w:asciiTheme="minorHAnsi" w:hAnsiTheme="minorHAnsi"/>
                <w:b w:val="0"/>
                <w:sz w:val="22"/>
                <w:szCs w:val="22"/>
              </w:rPr>
              <w:t>FAQs .414.-2 and .414-3 confirm that multiple four-year rate extensions can be requested if a negotiation is completed between each</w:t>
            </w:r>
            <w:r w:rsidR="000B76ED">
              <w:rPr>
                <w:rFonts w:asciiTheme="minorHAnsi" w:hAnsiTheme="minorHAnsi"/>
                <w:b w:val="0"/>
                <w:sz w:val="22"/>
                <w:szCs w:val="22"/>
              </w:rPr>
              <w:t xml:space="preserve"> rate</w:t>
            </w:r>
            <w:r w:rsidRPr="00E30CDE">
              <w:rPr>
                <w:rFonts w:asciiTheme="minorHAnsi" w:hAnsiTheme="minorHAnsi"/>
                <w:b w:val="0"/>
                <w:sz w:val="22"/>
                <w:szCs w:val="22"/>
              </w:rPr>
              <w:t xml:space="preserve"> extension request. FAQ .414-2 also specifies that documentation requests to support a four-year extension should be kept to a minimum.</w:t>
            </w:r>
          </w:p>
          <w:p w14:paraId="2FCD8BF5" w14:textId="77777777" w:rsidR="000B76ED" w:rsidRDefault="000B76ED" w:rsidP="000B76ED">
            <w:pPr>
              <w:autoSpaceDE w:val="0"/>
              <w:autoSpaceDN w:val="0"/>
              <w:adjustRightInd w:val="0"/>
              <w:jc w:val="both"/>
              <w:rPr>
                <w:rFonts w:asciiTheme="minorHAnsi" w:hAnsiTheme="minorHAnsi"/>
                <w:b w:val="0"/>
                <w:sz w:val="22"/>
                <w:szCs w:val="22"/>
              </w:rPr>
            </w:pPr>
          </w:p>
          <w:p w14:paraId="7B7EFCF5" w14:textId="3A33166A" w:rsidR="000B76ED" w:rsidRDefault="000457A9" w:rsidP="000B76ED">
            <w:pPr>
              <w:pStyle w:val="Default"/>
              <w:jc w:val="both"/>
              <w:rPr>
                <w:rFonts w:asciiTheme="minorHAnsi" w:hAnsiTheme="minorHAns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0B76ED">
              <w:rPr>
                <w:rFonts w:asciiTheme="minorHAnsi" w:hAnsiTheme="minorHAnsi"/>
                <w:b/>
                <w:i/>
                <w:sz w:val="22"/>
                <w:szCs w:val="22"/>
              </w:rPr>
              <w:t>:</w:t>
            </w:r>
          </w:p>
          <w:p w14:paraId="51BB43BB" w14:textId="77777777" w:rsidR="000B76ED" w:rsidRPr="000B76ED" w:rsidRDefault="000B76ED" w:rsidP="000B76ED">
            <w:pPr>
              <w:pStyle w:val="Default"/>
              <w:jc w:val="both"/>
              <w:rPr>
                <w:rFonts w:asciiTheme="minorHAnsi" w:hAnsiTheme="minorHAnsi"/>
                <w:sz w:val="12"/>
                <w:szCs w:val="12"/>
              </w:rPr>
            </w:pPr>
          </w:p>
          <w:p w14:paraId="7479A8C8" w14:textId="613A5AFF" w:rsidR="00743D57" w:rsidRPr="000B76ED" w:rsidRDefault="00743D57" w:rsidP="004C28F6">
            <w:pPr>
              <w:pStyle w:val="ListParagraph"/>
              <w:numPr>
                <w:ilvl w:val="0"/>
                <w:numId w:val="32"/>
              </w:numPr>
              <w:autoSpaceDE w:val="0"/>
              <w:autoSpaceDN w:val="0"/>
              <w:adjustRightInd w:val="0"/>
              <w:jc w:val="both"/>
              <w:rPr>
                <w:sz w:val="22"/>
                <w:szCs w:val="22"/>
              </w:rPr>
            </w:pPr>
            <w:r w:rsidRPr="000B76ED">
              <w:rPr>
                <w:sz w:val="22"/>
                <w:szCs w:val="22"/>
              </w:rPr>
              <w:t xml:space="preserve">Contact your cognizant agency </w:t>
            </w:r>
            <w:r w:rsidR="0035122B">
              <w:rPr>
                <w:sz w:val="22"/>
                <w:szCs w:val="22"/>
              </w:rPr>
              <w:t xml:space="preserve">as soon as possible </w:t>
            </w:r>
            <w:r w:rsidRPr="000B76ED">
              <w:rPr>
                <w:sz w:val="22"/>
                <w:szCs w:val="22"/>
              </w:rPr>
              <w:t>if you are considering requesting such an extension.</w:t>
            </w:r>
          </w:p>
          <w:p w14:paraId="1822392C" w14:textId="21E3C35F" w:rsidR="000B76ED" w:rsidRDefault="000B76ED" w:rsidP="004C28F6">
            <w:pPr>
              <w:pStyle w:val="ListParagraph"/>
              <w:numPr>
                <w:ilvl w:val="0"/>
                <w:numId w:val="32"/>
              </w:numPr>
              <w:autoSpaceDE w:val="0"/>
              <w:autoSpaceDN w:val="0"/>
              <w:adjustRightInd w:val="0"/>
              <w:jc w:val="both"/>
              <w:rPr>
                <w:sz w:val="22"/>
                <w:szCs w:val="22"/>
              </w:rPr>
            </w:pPr>
            <w:r>
              <w:rPr>
                <w:sz w:val="22"/>
                <w:szCs w:val="22"/>
              </w:rPr>
              <w:lastRenderedPageBreak/>
              <w:t>CAS and ONR, in an October 22</w:t>
            </w:r>
            <w:r w:rsidRPr="00021607">
              <w:rPr>
                <w:sz w:val="22"/>
                <w:szCs w:val="22"/>
                <w:vertAlign w:val="superscript"/>
              </w:rPr>
              <w:t>nd</w:t>
            </w:r>
            <w:r>
              <w:rPr>
                <w:sz w:val="22"/>
                <w:szCs w:val="22"/>
              </w:rPr>
              <w:t xml:space="preserve"> meeting with COGR,</w:t>
            </w:r>
            <w:r w:rsidRPr="004833D9">
              <w:rPr>
                <w:sz w:val="22"/>
                <w:szCs w:val="22"/>
              </w:rPr>
              <w:t xml:space="preserve"> </w:t>
            </w:r>
            <w:r>
              <w:rPr>
                <w:sz w:val="22"/>
                <w:szCs w:val="22"/>
              </w:rPr>
              <w:t xml:space="preserve">were </w:t>
            </w:r>
            <w:r w:rsidRPr="004833D9">
              <w:rPr>
                <w:sz w:val="22"/>
                <w:szCs w:val="22"/>
              </w:rPr>
              <w:t xml:space="preserve">consistent in stating that documentation requirements </w:t>
            </w:r>
            <w:r>
              <w:rPr>
                <w:sz w:val="22"/>
                <w:szCs w:val="22"/>
              </w:rPr>
              <w:t xml:space="preserve">for requesting an extension </w:t>
            </w:r>
            <w:r w:rsidRPr="004833D9">
              <w:rPr>
                <w:sz w:val="22"/>
                <w:szCs w:val="22"/>
              </w:rPr>
              <w:t>will be kept to a minimum.</w:t>
            </w:r>
            <w:r>
              <w:rPr>
                <w:sz w:val="22"/>
                <w:szCs w:val="22"/>
              </w:rPr>
              <w:t xml:space="preserve">  Also, once the extension period is complete (even if only for one year), a new proposal will be required. COGR’s understanding of each agency’s current position </w:t>
            </w:r>
            <w:r w:rsidR="0015259D">
              <w:rPr>
                <w:sz w:val="22"/>
                <w:szCs w:val="22"/>
              </w:rPr>
              <w:t>on</w:t>
            </w:r>
            <w:r>
              <w:rPr>
                <w:sz w:val="22"/>
                <w:szCs w:val="22"/>
              </w:rPr>
              <w:t xml:space="preserve"> data requirements is:</w:t>
            </w:r>
          </w:p>
          <w:p w14:paraId="38BA52A0" w14:textId="77777777" w:rsidR="000B76ED" w:rsidRPr="0035122B" w:rsidRDefault="000B76ED" w:rsidP="000B76ED">
            <w:pPr>
              <w:autoSpaceDE w:val="0"/>
              <w:autoSpaceDN w:val="0"/>
              <w:adjustRightInd w:val="0"/>
              <w:ind w:left="1008"/>
              <w:jc w:val="both"/>
              <w:rPr>
                <w:rFonts w:asciiTheme="minorHAnsi" w:hAnsiTheme="minorHAnsi"/>
                <w:b w:val="0"/>
                <w:sz w:val="12"/>
                <w:szCs w:val="12"/>
              </w:rPr>
            </w:pPr>
          </w:p>
          <w:p w14:paraId="2875F39E" w14:textId="187F75EA" w:rsidR="000B76ED" w:rsidRPr="000B76ED" w:rsidRDefault="000B76ED" w:rsidP="000B76ED">
            <w:pPr>
              <w:autoSpaceDE w:val="0"/>
              <w:autoSpaceDN w:val="0"/>
              <w:adjustRightInd w:val="0"/>
              <w:ind w:left="1008"/>
              <w:jc w:val="both"/>
              <w:rPr>
                <w:rFonts w:asciiTheme="minorHAnsi" w:hAnsiTheme="minorHAnsi"/>
                <w:b w:val="0"/>
                <w:sz w:val="22"/>
                <w:szCs w:val="22"/>
              </w:rPr>
            </w:pPr>
            <w:r w:rsidRPr="000B76ED">
              <w:rPr>
                <w:rFonts w:asciiTheme="minorHAnsi" w:hAnsiTheme="minorHAnsi"/>
                <w:b w:val="0"/>
                <w:sz w:val="22"/>
                <w:szCs w:val="22"/>
                <w:u w:val="single"/>
              </w:rPr>
              <w:t>CA</w:t>
            </w:r>
            <w:r w:rsidR="00C0218D">
              <w:rPr>
                <w:rFonts w:asciiTheme="minorHAnsi" w:hAnsiTheme="minorHAnsi"/>
                <w:b w:val="0"/>
                <w:sz w:val="22"/>
                <w:szCs w:val="22"/>
                <w:u w:val="single"/>
              </w:rPr>
              <w:t>S:</w:t>
            </w:r>
            <w:r w:rsidRPr="000B76ED">
              <w:rPr>
                <w:rFonts w:asciiTheme="minorHAnsi" w:hAnsiTheme="minorHAnsi"/>
                <w:b w:val="0"/>
                <w:sz w:val="22"/>
                <w:szCs w:val="22"/>
              </w:rPr>
              <w:t xml:space="preserve"> Additional data requirements will include the last audited financial statement, last A-133 audit, summary schedules of Research base activity and space activity since your last proposal, along with a forecast for both for the number of years for which the extension is being requested</w:t>
            </w:r>
            <w:r w:rsidR="00BD20F3">
              <w:rPr>
                <w:rFonts w:asciiTheme="minorHAnsi" w:hAnsiTheme="minorHAnsi"/>
                <w:b w:val="0"/>
                <w:sz w:val="22"/>
                <w:szCs w:val="22"/>
              </w:rPr>
              <w:t>;</w:t>
            </w:r>
          </w:p>
          <w:p w14:paraId="500FCD0A" w14:textId="77777777" w:rsidR="000B76ED" w:rsidRPr="0035122B" w:rsidRDefault="000B76ED" w:rsidP="000B76ED">
            <w:pPr>
              <w:autoSpaceDE w:val="0"/>
              <w:autoSpaceDN w:val="0"/>
              <w:adjustRightInd w:val="0"/>
              <w:ind w:left="1008"/>
              <w:jc w:val="both"/>
              <w:rPr>
                <w:rFonts w:asciiTheme="minorHAnsi" w:hAnsiTheme="minorHAnsi"/>
                <w:b w:val="0"/>
                <w:sz w:val="12"/>
                <w:szCs w:val="12"/>
              </w:rPr>
            </w:pPr>
          </w:p>
          <w:p w14:paraId="3B8480FA" w14:textId="1EDE2CD1" w:rsidR="000B76ED" w:rsidRPr="000B76ED" w:rsidRDefault="000B76ED" w:rsidP="000B76ED">
            <w:pPr>
              <w:autoSpaceDE w:val="0"/>
              <w:autoSpaceDN w:val="0"/>
              <w:adjustRightInd w:val="0"/>
              <w:ind w:left="1008"/>
              <w:jc w:val="both"/>
              <w:rPr>
                <w:rFonts w:asciiTheme="minorHAnsi" w:hAnsiTheme="minorHAnsi"/>
                <w:b w:val="0"/>
                <w:sz w:val="22"/>
                <w:szCs w:val="22"/>
              </w:rPr>
            </w:pPr>
            <w:r w:rsidRPr="000B76ED">
              <w:rPr>
                <w:rFonts w:asciiTheme="minorHAnsi" w:hAnsiTheme="minorHAnsi"/>
                <w:b w:val="0"/>
                <w:sz w:val="22"/>
                <w:szCs w:val="22"/>
                <w:u w:val="single"/>
              </w:rPr>
              <w:t>ON</w:t>
            </w:r>
            <w:r w:rsidR="00BA0501">
              <w:rPr>
                <w:rFonts w:asciiTheme="minorHAnsi" w:hAnsiTheme="minorHAnsi"/>
                <w:b w:val="0"/>
                <w:sz w:val="22"/>
                <w:szCs w:val="22"/>
                <w:u w:val="single"/>
              </w:rPr>
              <w:t>R:</w:t>
            </w:r>
            <w:r w:rsidRPr="000B76ED">
              <w:rPr>
                <w:rFonts w:asciiTheme="minorHAnsi" w:hAnsiTheme="minorHAnsi"/>
                <w:b w:val="0"/>
                <w:sz w:val="22"/>
                <w:szCs w:val="22"/>
              </w:rPr>
              <w:t xml:space="preserve"> Documentation requirements will depend on the number of years requested.  If requesting 1-2 years, start with a phone call to ONR.  They will review the previous proposal and other information and </w:t>
            </w:r>
            <w:r w:rsidR="00BD20F3">
              <w:rPr>
                <w:rFonts w:asciiTheme="minorHAnsi" w:hAnsiTheme="minorHAnsi"/>
                <w:b w:val="0"/>
                <w:sz w:val="22"/>
                <w:szCs w:val="22"/>
              </w:rPr>
              <w:t xml:space="preserve">determine </w:t>
            </w:r>
            <w:r w:rsidRPr="000B76ED">
              <w:rPr>
                <w:rFonts w:asciiTheme="minorHAnsi" w:hAnsiTheme="minorHAnsi"/>
                <w:b w:val="0"/>
                <w:sz w:val="22"/>
                <w:szCs w:val="22"/>
              </w:rPr>
              <w:t>the documentation that will be necessary.  If requesting 3-4 years, the documentation required would be more comprehensive, including the last audited financial statement, last A-133 audit, space and base activity since your last proposal, and space and base forecasts for the number of years for which the extension is being requested</w:t>
            </w:r>
            <w:r w:rsidR="00BD20F3">
              <w:rPr>
                <w:rFonts w:asciiTheme="minorHAnsi" w:hAnsiTheme="minorHAnsi"/>
                <w:b w:val="0"/>
                <w:sz w:val="22"/>
                <w:szCs w:val="22"/>
              </w:rPr>
              <w:t>.</w:t>
            </w:r>
          </w:p>
          <w:p w14:paraId="6F197B89" w14:textId="77777777" w:rsidR="00743D57" w:rsidRPr="000B76ED" w:rsidRDefault="00743D57" w:rsidP="000B76ED">
            <w:pPr>
              <w:autoSpaceDE w:val="0"/>
              <w:autoSpaceDN w:val="0"/>
              <w:adjustRightInd w:val="0"/>
              <w:jc w:val="both"/>
              <w:rPr>
                <w:bCs/>
                <w:sz w:val="22"/>
                <w:szCs w:val="22"/>
              </w:rPr>
            </w:pPr>
          </w:p>
        </w:tc>
      </w:tr>
      <w:tr w:rsidR="00743D57" w:rsidRPr="004A46A7" w14:paraId="58C9E51B" w14:textId="77777777" w:rsidTr="00C81052">
        <w:trPr>
          <w:trHeight w:val="432"/>
        </w:trPr>
        <w:tc>
          <w:tcPr>
            <w:tcW w:w="518" w:type="dxa"/>
          </w:tcPr>
          <w:p w14:paraId="410F76A2" w14:textId="5F009366" w:rsidR="00743D57" w:rsidRPr="009F48BA" w:rsidRDefault="00743D57" w:rsidP="00597F76">
            <w:pPr>
              <w:pStyle w:val="PlainText"/>
              <w:jc w:val="center"/>
              <w:rPr>
                <w:rFonts w:asciiTheme="minorHAnsi" w:hAnsiTheme="minorHAnsi" w:cs="Times New Roman"/>
                <w:b/>
                <w:sz w:val="22"/>
                <w:szCs w:val="22"/>
              </w:rPr>
            </w:pPr>
            <w:r w:rsidRPr="009F48BA">
              <w:rPr>
                <w:rFonts w:asciiTheme="minorHAnsi" w:hAnsiTheme="minorHAnsi"/>
                <w:b/>
                <w:sz w:val="22"/>
                <w:szCs w:val="22"/>
              </w:rPr>
              <w:lastRenderedPageBreak/>
              <w:br w:type="page"/>
            </w:r>
            <w:r>
              <w:rPr>
                <w:rFonts w:asciiTheme="minorHAnsi" w:hAnsiTheme="minorHAnsi"/>
                <w:b/>
                <w:sz w:val="22"/>
                <w:szCs w:val="22"/>
              </w:rPr>
              <w:t>3</w:t>
            </w:r>
            <w:r w:rsidRPr="009F48BA">
              <w:rPr>
                <w:rFonts w:asciiTheme="minorHAnsi" w:hAnsiTheme="minorHAnsi" w:cs="Times New Roman"/>
                <w:b/>
                <w:sz w:val="22"/>
                <w:szCs w:val="22"/>
              </w:rPr>
              <w:t>.</w:t>
            </w:r>
          </w:p>
        </w:tc>
        <w:tc>
          <w:tcPr>
            <w:tcW w:w="1872" w:type="dxa"/>
          </w:tcPr>
          <w:p w14:paraId="09470729" w14:textId="77777777" w:rsidR="00743D57" w:rsidRDefault="00743D57" w:rsidP="00597F76">
            <w:pPr>
              <w:pStyle w:val="PlainText"/>
              <w:jc w:val="center"/>
              <w:rPr>
                <w:rFonts w:asciiTheme="minorHAnsi" w:hAnsiTheme="minorHAnsi" w:cs="Times New Roman"/>
                <w:b/>
                <w:i/>
                <w:sz w:val="22"/>
                <w:szCs w:val="22"/>
              </w:rPr>
            </w:pPr>
            <w:r>
              <w:rPr>
                <w:rFonts w:asciiTheme="minorHAnsi" w:hAnsiTheme="minorHAnsi" w:cs="Times New Roman"/>
                <w:b/>
                <w:i/>
                <w:sz w:val="22"/>
                <w:szCs w:val="22"/>
              </w:rPr>
              <w:t>Submitting a revised DS-2</w:t>
            </w:r>
          </w:p>
          <w:p w14:paraId="04EA6F5D" w14:textId="77777777" w:rsidR="00743D57" w:rsidRPr="00E30CDE" w:rsidRDefault="00743D57" w:rsidP="00597F76">
            <w:pPr>
              <w:pStyle w:val="PlainText"/>
              <w:jc w:val="center"/>
              <w:rPr>
                <w:rFonts w:asciiTheme="minorHAnsi" w:hAnsiTheme="minorHAnsi" w:cs="Times New Roman"/>
                <w:b/>
                <w:i/>
                <w:sz w:val="12"/>
                <w:szCs w:val="12"/>
              </w:rPr>
            </w:pPr>
          </w:p>
          <w:p w14:paraId="30BEF07E" w14:textId="77777777" w:rsidR="00743D57" w:rsidRPr="009F48BA" w:rsidRDefault="00743D57" w:rsidP="00597F76">
            <w:pPr>
              <w:pStyle w:val="PlainText"/>
              <w:jc w:val="center"/>
              <w:rPr>
                <w:rFonts w:asciiTheme="minorHAnsi" w:hAnsiTheme="minorHAnsi" w:cs="Times New Roman"/>
                <w:b/>
                <w:i/>
                <w:sz w:val="22"/>
                <w:szCs w:val="22"/>
              </w:rPr>
            </w:pPr>
            <w:r>
              <w:rPr>
                <w:rFonts w:asciiTheme="minorHAnsi" w:hAnsiTheme="minorHAnsi" w:cs="Times New Roman"/>
                <w:b/>
                <w:i/>
                <w:sz w:val="22"/>
                <w:szCs w:val="22"/>
              </w:rPr>
              <w:t>(200.419)</w:t>
            </w:r>
          </w:p>
          <w:p w14:paraId="281CE3F9" w14:textId="77777777" w:rsidR="00743D57" w:rsidRDefault="00743D57" w:rsidP="00597F76">
            <w:pPr>
              <w:pStyle w:val="PlainText"/>
              <w:rPr>
                <w:rFonts w:asciiTheme="minorHAnsi" w:hAnsiTheme="minorHAnsi" w:cs="Times New Roman"/>
                <w:b/>
                <w:i/>
                <w:sz w:val="22"/>
                <w:szCs w:val="22"/>
              </w:rPr>
            </w:pPr>
          </w:p>
          <w:p w14:paraId="776284E5" w14:textId="77777777" w:rsidR="00743D57" w:rsidRPr="009F48BA" w:rsidRDefault="00743D57" w:rsidP="00597F76">
            <w:pPr>
              <w:pStyle w:val="PlainText"/>
              <w:rPr>
                <w:rFonts w:asciiTheme="minorHAnsi" w:hAnsiTheme="minorHAnsi" w:cs="Times New Roman"/>
                <w:b/>
                <w:i/>
                <w:sz w:val="22"/>
                <w:szCs w:val="22"/>
              </w:rPr>
            </w:pPr>
          </w:p>
        </w:tc>
        <w:tc>
          <w:tcPr>
            <w:tcW w:w="12010" w:type="dxa"/>
          </w:tcPr>
          <w:p w14:paraId="5D9E764C" w14:textId="77777777" w:rsidR="000049BF" w:rsidRPr="000049BF" w:rsidRDefault="000049BF" w:rsidP="000049BF">
            <w:pPr>
              <w:autoSpaceDE w:val="0"/>
              <w:autoSpaceDN w:val="0"/>
              <w:adjustRightInd w:val="0"/>
              <w:jc w:val="both"/>
              <w:rPr>
                <w:rFonts w:asciiTheme="minorHAnsi" w:hAnsiTheme="minorHAnsi" w:cs="Courier"/>
                <w:b w:val="0"/>
                <w:sz w:val="22"/>
                <w:szCs w:val="22"/>
              </w:rPr>
            </w:pPr>
            <w:r w:rsidRPr="000049BF">
              <w:rPr>
                <w:rFonts w:asciiTheme="minorHAnsi" w:hAnsiTheme="minorHAnsi"/>
                <w:b w:val="0"/>
                <w:sz w:val="22"/>
                <w:szCs w:val="22"/>
              </w:rPr>
              <w:t xml:space="preserve">200.419(b) maintains the requirement that an IHE </w:t>
            </w:r>
            <w:r w:rsidRPr="000049BF">
              <w:rPr>
                <w:rFonts w:asciiTheme="minorHAnsi" w:hAnsiTheme="minorHAnsi" w:cs="Courier"/>
                <w:b w:val="0"/>
                <w:sz w:val="22"/>
                <w:szCs w:val="22"/>
              </w:rPr>
              <w:t>that receives aggregate Federal awards totaling $50 million during its most recently completed fiscal year must disclose their cost accounting practices by filing a Disclosure Statement (DS-2).</w:t>
            </w:r>
          </w:p>
          <w:p w14:paraId="232D2D6F" w14:textId="77777777" w:rsidR="000049BF" w:rsidRPr="000049BF" w:rsidRDefault="000049BF" w:rsidP="000049BF">
            <w:pPr>
              <w:autoSpaceDE w:val="0"/>
              <w:autoSpaceDN w:val="0"/>
              <w:adjustRightInd w:val="0"/>
              <w:jc w:val="both"/>
              <w:rPr>
                <w:rFonts w:asciiTheme="minorHAnsi" w:hAnsiTheme="minorHAnsi" w:cs="Courier"/>
                <w:b w:val="0"/>
                <w:sz w:val="12"/>
                <w:szCs w:val="12"/>
              </w:rPr>
            </w:pPr>
          </w:p>
          <w:p w14:paraId="1734BD6A" w14:textId="3DF04E92" w:rsidR="000049BF" w:rsidRPr="000049BF" w:rsidRDefault="000049BF" w:rsidP="000049BF">
            <w:pPr>
              <w:autoSpaceDE w:val="0"/>
              <w:autoSpaceDN w:val="0"/>
              <w:adjustRightInd w:val="0"/>
              <w:jc w:val="both"/>
              <w:rPr>
                <w:rFonts w:asciiTheme="minorHAnsi" w:hAnsiTheme="minorHAnsi"/>
                <w:b w:val="0"/>
                <w:sz w:val="22"/>
                <w:szCs w:val="22"/>
              </w:rPr>
            </w:pPr>
            <w:r w:rsidRPr="000049BF">
              <w:rPr>
                <w:rFonts w:asciiTheme="minorHAnsi" w:hAnsiTheme="minorHAnsi" w:cs="Courier"/>
                <w:b w:val="0"/>
                <w:sz w:val="22"/>
                <w:szCs w:val="22"/>
              </w:rPr>
              <w:t>FAQs .110-3 and .110-5, released in November 2014, attempt to clarify the process for completing and submitting a DS-2. However, additional clarification is nece</w:t>
            </w:r>
            <w:r w:rsidR="00BC612A">
              <w:rPr>
                <w:rFonts w:asciiTheme="minorHAnsi" w:hAnsiTheme="minorHAnsi" w:cs="Courier"/>
                <w:b w:val="0"/>
                <w:sz w:val="22"/>
                <w:szCs w:val="22"/>
              </w:rPr>
              <w:t>ssary and should be forthcoming.</w:t>
            </w:r>
          </w:p>
          <w:p w14:paraId="5D5346ED" w14:textId="77777777" w:rsidR="000049BF" w:rsidRPr="000049BF" w:rsidRDefault="000049BF" w:rsidP="000049BF">
            <w:pPr>
              <w:autoSpaceDE w:val="0"/>
              <w:autoSpaceDN w:val="0"/>
              <w:adjustRightInd w:val="0"/>
              <w:jc w:val="both"/>
              <w:rPr>
                <w:rFonts w:asciiTheme="minorHAnsi" w:hAnsiTheme="minorHAnsi"/>
                <w:b w:val="0"/>
                <w:sz w:val="22"/>
                <w:szCs w:val="22"/>
              </w:rPr>
            </w:pPr>
          </w:p>
          <w:p w14:paraId="5ED4CD82" w14:textId="77777777" w:rsidR="000049BF" w:rsidRPr="000049BF" w:rsidRDefault="000049BF" w:rsidP="000049BF">
            <w:pPr>
              <w:pStyle w:val="Default"/>
              <w:jc w:val="both"/>
              <w:rPr>
                <w:rFonts w:asciiTheme="minorHAnsi" w:hAnsiTheme="minorHAnsi"/>
                <w:b/>
                <w:sz w:val="22"/>
                <w:szCs w:val="22"/>
              </w:rPr>
            </w:pPr>
            <w:r w:rsidRPr="000049BF">
              <w:rPr>
                <w:rFonts w:asciiTheme="minorHAnsi" w:hAnsiTheme="minorHAnsi"/>
                <w:b/>
                <w:i/>
                <w:sz w:val="22"/>
                <w:szCs w:val="22"/>
              </w:rPr>
              <w:t>POINTS TO CONSIDER:</w:t>
            </w:r>
          </w:p>
          <w:p w14:paraId="24DCE525" w14:textId="77777777" w:rsidR="000049BF" w:rsidRPr="000049BF" w:rsidRDefault="000049BF" w:rsidP="000049BF">
            <w:pPr>
              <w:pStyle w:val="Default"/>
              <w:jc w:val="both"/>
              <w:rPr>
                <w:rFonts w:asciiTheme="minorHAnsi" w:hAnsiTheme="minorHAnsi"/>
                <w:sz w:val="12"/>
                <w:szCs w:val="12"/>
              </w:rPr>
            </w:pPr>
          </w:p>
          <w:p w14:paraId="494F8C04" w14:textId="77777777" w:rsidR="000049BF" w:rsidRPr="000049BF" w:rsidRDefault="000049BF" w:rsidP="000049BF">
            <w:pPr>
              <w:pStyle w:val="Default"/>
              <w:numPr>
                <w:ilvl w:val="0"/>
                <w:numId w:val="33"/>
              </w:numPr>
              <w:jc w:val="both"/>
              <w:rPr>
                <w:rFonts w:asciiTheme="minorHAnsi" w:hAnsiTheme="minorHAnsi"/>
                <w:sz w:val="22"/>
                <w:szCs w:val="22"/>
              </w:rPr>
            </w:pPr>
            <w:r w:rsidRPr="000049BF">
              <w:rPr>
                <w:rFonts w:asciiTheme="minorHAnsi" w:hAnsiTheme="minorHAnsi"/>
                <w:sz w:val="22"/>
                <w:szCs w:val="22"/>
              </w:rPr>
              <w:t xml:space="preserve">Per FAQ .110-3, IHE's with CAS covered-contracts meeting the dollar threshold should </w:t>
            </w:r>
            <w:r w:rsidRPr="000049BF">
              <w:rPr>
                <w:rFonts w:asciiTheme="minorHAnsi" w:hAnsiTheme="minorHAnsi"/>
                <w:sz w:val="22"/>
                <w:szCs w:val="22"/>
                <w:u w:val="single"/>
              </w:rPr>
              <w:t>submit</w:t>
            </w:r>
            <w:r w:rsidRPr="000049BF">
              <w:rPr>
                <w:rFonts w:asciiTheme="minorHAnsi" w:hAnsiTheme="minorHAnsi"/>
                <w:sz w:val="22"/>
                <w:szCs w:val="22"/>
              </w:rPr>
              <w:t xml:space="preserve"> their revised DS-2 as soon as possible after 12/26/2014, but in any event no later than prior to the award of a CAS-covered contract or subcontract.</w:t>
            </w:r>
          </w:p>
          <w:p w14:paraId="0BBB4B8D" w14:textId="77777777" w:rsidR="000049BF" w:rsidRPr="000049BF" w:rsidRDefault="000049BF" w:rsidP="000049BF">
            <w:pPr>
              <w:pStyle w:val="ListParagraph"/>
              <w:numPr>
                <w:ilvl w:val="0"/>
                <w:numId w:val="33"/>
              </w:numPr>
              <w:autoSpaceDE w:val="0"/>
              <w:autoSpaceDN w:val="0"/>
              <w:adjustRightInd w:val="0"/>
              <w:jc w:val="both"/>
              <w:rPr>
                <w:sz w:val="22"/>
                <w:szCs w:val="22"/>
              </w:rPr>
            </w:pPr>
            <w:r w:rsidRPr="000049BF">
              <w:rPr>
                <w:sz w:val="22"/>
                <w:szCs w:val="22"/>
              </w:rPr>
              <w:t xml:space="preserve">Per FAQ .110-3, IHEs that do not meet the CAS covered contract threshold should </w:t>
            </w:r>
            <w:r w:rsidRPr="000049BF">
              <w:rPr>
                <w:sz w:val="22"/>
                <w:szCs w:val="22"/>
                <w:u w:val="single"/>
              </w:rPr>
              <w:t>submit</w:t>
            </w:r>
            <w:r w:rsidRPr="000049BF">
              <w:rPr>
                <w:sz w:val="22"/>
                <w:szCs w:val="22"/>
              </w:rPr>
              <w:t xml:space="preserve"> their DS-2 with the next submission of the IHE’s indirect cost rate proposal, unless requested earlier by the coginzant agency.</w:t>
            </w:r>
          </w:p>
          <w:p w14:paraId="2B4E0863" w14:textId="77777777" w:rsidR="000049BF" w:rsidRPr="000049BF" w:rsidRDefault="000049BF" w:rsidP="000049BF">
            <w:pPr>
              <w:pStyle w:val="ListParagraph"/>
              <w:numPr>
                <w:ilvl w:val="0"/>
                <w:numId w:val="33"/>
              </w:numPr>
              <w:autoSpaceDE w:val="0"/>
              <w:autoSpaceDN w:val="0"/>
              <w:adjustRightInd w:val="0"/>
              <w:jc w:val="both"/>
              <w:rPr>
                <w:sz w:val="22"/>
                <w:szCs w:val="22"/>
              </w:rPr>
            </w:pPr>
            <w:r w:rsidRPr="000049BF">
              <w:rPr>
                <w:sz w:val="22"/>
                <w:szCs w:val="22"/>
              </w:rPr>
              <w:t>Per FAQ .110-3, IHE's making voluntary changes in cost accounting practices other than those required in the Uniform Guidance or submitting indirect cost rate proposals that are currently due should submit their DS-2 (or revised pages of the DS-2 for changes that are not extensive) 6 months before the effective date of proposed changes.</w:t>
            </w:r>
          </w:p>
          <w:p w14:paraId="6BA47F3A" w14:textId="77777777" w:rsidR="000049BF" w:rsidRPr="000049BF" w:rsidRDefault="000049BF" w:rsidP="000049BF">
            <w:pPr>
              <w:pStyle w:val="ListParagraph"/>
              <w:numPr>
                <w:ilvl w:val="0"/>
                <w:numId w:val="33"/>
              </w:numPr>
              <w:autoSpaceDE w:val="0"/>
              <w:autoSpaceDN w:val="0"/>
              <w:adjustRightInd w:val="0"/>
              <w:jc w:val="both"/>
              <w:rPr>
                <w:sz w:val="22"/>
                <w:szCs w:val="22"/>
              </w:rPr>
            </w:pPr>
            <w:r w:rsidRPr="000049BF">
              <w:rPr>
                <w:sz w:val="22"/>
                <w:szCs w:val="22"/>
              </w:rPr>
              <w:t xml:space="preserve">Per FAQ .110-5, Non-Federal entities will not be penalized for discrepancies between their approved DS-2 and actual charging practices in accordance with the new uniform guidance, provided that an updated DS-2 (consistent with actual charging practices) has been </w:t>
            </w:r>
            <w:r w:rsidRPr="000049BF">
              <w:rPr>
                <w:sz w:val="22"/>
                <w:szCs w:val="22"/>
                <w:u w:val="single"/>
              </w:rPr>
              <w:t>revised</w:t>
            </w:r>
            <w:r w:rsidRPr="000049BF">
              <w:rPr>
                <w:sz w:val="22"/>
                <w:szCs w:val="22"/>
              </w:rPr>
              <w:t xml:space="preserve"> and </w:t>
            </w:r>
            <w:r w:rsidRPr="000049BF">
              <w:rPr>
                <w:sz w:val="22"/>
                <w:szCs w:val="22"/>
                <w:u w:val="single"/>
              </w:rPr>
              <w:t>submitted</w:t>
            </w:r>
            <w:r w:rsidRPr="000049BF">
              <w:rPr>
                <w:sz w:val="22"/>
                <w:szCs w:val="22"/>
              </w:rPr>
              <w:t xml:space="preserve"> in accordance with FAQ .110-3.</w:t>
            </w:r>
          </w:p>
          <w:p w14:paraId="20B1B5EE" w14:textId="40737A82" w:rsidR="000049BF" w:rsidRPr="000049BF" w:rsidRDefault="000049BF" w:rsidP="000049BF">
            <w:pPr>
              <w:pStyle w:val="ListParagraph"/>
              <w:numPr>
                <w:ilvl w:val="0"/>
                <w:numId w:val="33"/>
              </w:numPr>
              <w:autoSpaceDE w:val="0"/>
              <w:autoSpaceDN w:val="0"/>
              <w:adjustRightInd w:val="0"/>
              <w:jc w:val="both"/>
              <w:rPr>
                <w:b/>
                <w:sz w:val="22"/>
                <w:szCs w:val="22"/>
                <w:u w:val="single"/>
              </w:rPr>
            </w:pPr>
            <w:r w:rsidRPr="000049BF">
              <w:rPr>
                <w:rFonts w:ascii="Calibri" w:hAnsi="Calibri"/>
                <w:b/>
                <w:sz w:val="22"/>
                <w:szCs w:val="22"/>
              </w:rPr>
              <w:t xml:space="preserve">Pay close attention to new developments related to </w:t>
            </w:r>
            <w:r>
              <w:rPr>
                <w:rFonts w:ascii="Calibri" w:hAnsi="Calibri"/>
                <w:b/>
                <w:sz w:val="22"/>
                <w:szCs w:val="22"/>
              </w:rPr>
              <w:t xml:space="preserve">revising and submitting </w:t>
            </w:r>
            <w:r w:rsidRPr="000049BF">
              <w:rPr>
                <w:rFonts w:ascii="Calibri" w:hAnsi="Calibri"/>
                <w:b/>
                <w:sz w:val="22"/>
                <w:szCs w:val="22"/>
              </w:rPr>
              <w:t xml:space="preserve">the DS-2. </w:t>
            </w:r>
            <w:r w:rsidRPr="000049BF">
              <w:rPr>
                <w:rFonts w:ascii="Calibri" w:hAnsi="Calibri"/>
                <w:b/>
                <w:sz w:val="22"/>
                <w:szCs w:val="22"/>
                <w:u w:val="single"/>
              </w:rPr>
              <w:t>Simplification and clarification of the process will be provided by OMB shortly</w:t>
            </w:r>
            <w:r w:rsidRPr="000049BF">
              <w:rPr>
                <w:b/>
                <w:sz w:val="22"/>
                <w:szCs w:val="22"/>
                <w:u w:val="single"/>
              </w:rPr>
              <w:t>.</w:t>
            </w:r>
          </w:p>
          <w:p w14:paraId="74CF890E" w14:textId="635A148B" w:rsidR="000B76ED" w:rsidRPr="003B390D" w:rsidRDefault="000B76ED" w:rsidP="00597F76">
            <w:pPr>
              <w:autoSpaceDE w:val="0"/>
              <w:autoSpaceDN w:val="0"/>
              <w:adjustRightInd w:val="0"/>
              <w:jc w:val="both"/>
              <w:rPr>
                <w:rFonts w:asciiTheme="minorHAnsi" w:hAnsiTheme="minorHAnsi"/>
                <w:bCs/>
                <w:sz w:val="22"/>
                <w:szCs w:val="22"/>
              </w:rPr>
            </w:pPr>
          </w:p>
        </w:tc>
      </w:tr>
      <w:tr w:rsidR="00743D57" w:rsidRPr="004A46A7" w14:paraId="7187ED8D" w14:textId="77777777" w:rsidTr="00C81052">
        <w:trPr>
          <w:trHeight w:val="432"/>
        </w:trPr>
        <w:tc>
          <w:tcPr>
            <w:tcW w:w="518" w:type="dxa"/>
          </w:tcPr>
          <w:p w14:paraId="546722EF" w14:textId="77777777" w:rsidR="00743D57" w:rsidRPr="009F48BA" w:rsidRDefault="00743D57" w:rsidP="00597F76">
            <w:pPr>
              <w:pStyle w:val="TableContents"/>
              <w:jc w:val="center"/>
              <w:rPr>
                <w:rFonts w:asciiTheme="minorHAnsi" w:hAnsiTheme="minorHAnsi"/>
                <w:sz w:val="22"/>
                <w:szCs w:val="22"/>
              </w:rPr>
            </w:pPr>
            <w:r>
              <w:rPr>
                <w:rFonts w:asciiTheme="minorHAnsi" w:hAnsiTheme="minorHAnsi"/>
                <w:b/>
                <w:bCs/>
                <w:sz w:val="22"/>
                <w:szCs w:val="22"/>
              </w:rPr>
              <w:t>4.</w:t>
            </w:r>
          </w:p>
        </w:tc>
        <w:tc>
          <w:tcPr>
            <w:tcW w:w="1872" w:type="dxa"/>
          </w:tcPr>
          <w:p w14:paraId="13B41AC5" w14:textId="77777777" w:rsidR="00743D57" w:rsidRDefault="00743D57" w:rsidP="00597F76">
            <w:pPr>
              <w:pStyle w:val="TableContents"/>
              <w:jc w:val="center"/>
              <w:rPr>
                <w:rFonts w:asciiTheme="minorHAnsi" w:hAnsiTheme="minorHAnsi"/>
                <w:b/>
                <w:bCs/>
                <w:sz w:val="22"/>
                <w:szCs w:val="22"/>
              </w:rPr>
            </w:pPr>
            <w:r>
              <w:rPr>
                <w:rFonts w:asciiTheme="minorHAnsi" w:hAnsiTheme="minorHAnsi"/>
                <w:b/>
                <w:bCs/>
                <w:sz w:val="22"/>
                <w:szCs w:val="22"/>
              </w:rPr>
              <w:t>Allowable</w:t>
            </w:r>
          </w:p>
          <w:p w14:paraId="7F73B946" w14:textId="77777777" w:rsidR="00743D57" w:rsidRPr="009F48BA" w:rsidRDefault="00743D57" w:rsidP="00597F76">
            <w:pPr>
              <w:pStyle w:val="TableContents"/>
              <w:jc w:val="center"/>
              <w:rPr>
                <w:rFonts w:asciiTheme="minorHAnsi" w:hAnsiTheme="minorHAnsi"/>
                <w:b/>
                <w:bCs/>
                <w:sz w:val="22"/>
                <w:szCs w:val="22"/>
              </w:rPr>
            </w:pPr>
            <w:r>
              <w:rPr>
                <w:rFonts w:asciiTheme="minorHAnsi" w:hAnsiTheme="minorHAnsi"/>
                <w:b/>
                <w:bCs/>
                <w:sz w:val="22"/>
                <w:szCs w:val="22"/>
              </w:rPr>
              <w:lastRenderedPageBreak/>
              <w:t>d</w:t>
            </w:r>
            <w:r w:rsidRPr="009F48BA">
              <w:rPr>
                <w:rFonts w:asciiTheme="minorHAnsi" w:hAnsiTheme="minorHAnsi"/>
                <w:b/>
                <w:bCs/>
                <w:sz w:val="22"/>
                <w:szCs w:val="22"/>
              </w:rPr>
              <w:t>epreciation</w:t>
            </w:r>
          </w:p>
          <w:p w14:paraId="1597BE19" w14:textId="77777777" w:rsidR="00743D57" w:rsidRPr="00CC6076" w:rsidRDefault="00743D57" w:rsidP="00597F76">
            <w:pPr>
              <w:pStyle w:val="TableContents"/>
              <w:jc w:val="center"/>
              <w:rPr>
                <w:rFonts w:asciiTheme="minorHAnsi" w:hAnsiTheme="minorHAnsi"/>
                <w:b/>
                <w:bCs/>
                <w:sz w:val="12"/>
                <w:szCs w:val="12"/>
              </w:rPr>
            </w:pPr>
          </w:p>
          <w:p w14:paraId="79648EBC" w14:textId="77777777" w:rsidR="00743D57" w:rsidRPr="009F48BA" w:rsidRDefault="00743D57" w:rsidP="00597F76">
            <w:pPr>
              <w:pStyle w:val="TableContents"/>
              <w:jc w:val="center"/>
              <w:rPr>
                <w:rFonts w:asciiTheme="minorHAnsi" w:hAnsiTheme="minorHAnsi"/>
                <w:sz w:val="22"/>
                <w:szCs w:val="22"/>
              </w:rPr>
            </w:pPr>
            <w:r w:rsidRPr="009F48BA">
              <w:rPr>
                <w:rFonts w:asciiTheme="minorHAnsi" w:hAnsiTheme="minorHAnsi"/>
                <w:b/>
                <w:bCs/>
                <w:sz w:val="22"/>
                <w:szCs w:val="22"/>
              </w:rPr>
              <w:t>(</w:t>
            </w:r>
            <w:r w:rsidRPr="009F48BA">
              <w:rPr>
                <w:rFonts w:asciiTheme="minorHAnsi" w:eastAsia="Calibri" w:hAnsiTheme="minorHAnsi" w:cs="Calibri"/>
                <w:b/>
                <w:bCs/>
                <w:sz w:val="22"/>
                <w:szCs w:val="22"/>
              </w:rPr>
              <w:t>200.436)</w:t>
            </w:r>
          </w:p>
        </w:tc>
        <w:tc>
          <w:tcPr>
            <w:tcW w:w="12010" w:type="dxa"/>
          </w:tcPr>
          <w:p w14:paraId="21C4B158" w14:textId="77777777" w:rsidR="00743D57" w:rsidRDefault="00743D57" w:rsidP="00597F76">
            <w:pPr>
              <w:autoSpaceDE w:val="0"/>
              <w:autoSpaceDN w:val="0"/>
              <w:adjustRightInd w:val="0"/>
              <w:jc w:val="both"/>
              <w:rPr>
                <w:rFonts w:asciiTheme="minorHAnsi" w:hAnsiTheme="minorHAnsi"/>
                <w:b w:val="0"/>
                <w:sz w:val="22"/>
                <w:szCs w:val="22"/>
              </w:rPr>
            </w:pPr>
            <w:r>
              <w:rPr>
                <w:rFonts w:asciiTheme="minorHAnsi" w:hAnsiTheme="minorHAnsi"/>
                <w:b w:val="0"/>
                <w:sz w:val="22"/>
                <w:szCs w:val="22"/>
              </w:rPr>
              <w:lastRenderedPageBreak/>
              <w:t>200.436(</w:t>
            </w:r>
            <w:r w:rsidRPr="00045990">
              <w:rPr>
                <w:rFonts w:asciiTheme="minorHAnsi" w:hAnsiTheme="minorHAnsi"/>
                <w:b w:val="0"/>
                <w:sz w:val="22"/>
                <w:szCs w:val="22"/>
              </w:rPr>
              <w:t xml:space="preserve">a) </w:t>
            </w:r>
            <w:r w:rsidRPr="00CC6076">
              <w:rPr>
                <w:rFonts w:asciiTheme="minorHAnsi" w:hAnsiTheme="minorHAnsi"/>
                <w:b w:val="0"/>
                <w:sz w:val="22"/>
                <w:szCs w:val="22"/>
              </w:rPr>
              <w:t>includes software as an asset that can be capitalized, in accordance with GAAP.</w:t>
            </w:r>
          </w:p>
          <w:p w14:paraId="11D437F1" w14:textId="77777777" w:rsidR="00743D57" w:rsidRPr="00CC6076" w:rsidRDefault="00743D57" w:rsidP="00597F76">
            <w:pPr>
              <w:autoSpaceDE w:val="0"/>
              <w:autoSpaceDN w:val="0"/>
              <w:adjustRightInd w:val="0"/>
              <w:jc w:val="both"/>
              <w:rPr>
                <w:rFonts w:asciiTheme="minorHAnsi" w:hAnsiTheme="minorHAnsi"/>
                <w:b w:val="0"/>
                <w:sz w:val="12"/>
                <w:szCs w:val="12"/>
              </w:rPr>
            </w:pPr>
          </w:p>
          <w:p w14:paraId="1572CA28" w14:textId="77777777" w:rsidR="00743D57" w:rsidRPr="00CC6076" w:rsidRDefault="00743D57" w:rsidP="00597F76">
            <w:pPr>
              <w:autoSpaceDE w:val="0"/>
              <w:autoSpaceDN w:val="0"/>
              <w:adjustRightInd w:val="0"/>
              <w:jc w:val="both"/>
              <w:rPr>
                <w:rFonts w:asciiTheme="minorHAnsi" w:hAnsiTheme="minorHAnsi"/>
                <w:b w:val="0"/>
                <w:sz w:val="22"/>
                <w:szCs w:val="22"/>
              </w:rPr>
            </w:pPr>
            <w:r w:rsidRPr="00CC6076">
              <w:rPr>
                <w:rFonts w:asciiTheme="minorHAnsi" w:hAnsiTheme="minorHAnsi"/>
                <w:b w:val="0"/>
                <w:sz w:val="22"/>
                <w:szCs w:val="22"/>
              </w:rPr>
              <w:lastRenderedPageBreak/>
              <w:t>FAQ .436-1 clarifies that the depreciation associated with the institutional contribution to</w:t>
            </w:r>
            <w:r>
              <w:rPr>
                <w:rFonts w:asciiTheme="minorHAnsi" w:hAnsiTheme="minorHAnsi"/>
                <w:b w:val="0"/>
                <w:sz w:val="22"/>
                <w:szCs w:val="22"/>
              </w:rPr>
              <w:t>ward</w:t>
            </w:r>
            <w:r w:rsidRPr="00CC6076">
              <w:rPr>
                <w:rFonts w:asciiTheme="minorHAnsi" w:hAnsiTheme="minorHAnsi"/>
                <w:b w:val="0"/>
                <w:sz w:val="22"/>
                <w:szCs w:val="22"/>
              </w:rPr>
              <w:t xml:space="preserve"> the cost of buildings and equipment is allowable, unless law or agreement prohibits recovery. </w:t>
            </w:r>
            <w:r>
              <w:rPr>
                <w:rFonts w:asciiTheme="minorHAnsi" w:hAnsiTheme="minorHAnsi"/>
                <w:b w:val="0"/>
                <w:sz w:val="22"/>
                <w:szCs w:val="22"/>
              </w:rPr>
              <w:t xml:space="preserve">This resolves the confusion created by 200.436(c)(3), which states that if an </w:t>
            </w:r>
            <w:r w:rsidRPr="00CC6076">
              <w:rPr>
                <w:rFonts w:asciiTheme="minorHAnsi" w:hAnsiTheme="minorHAnsi"/>
                <w:b w:val="0"/>
                <w:sz w:val="22"/>
                <w:szCs w:val="22"/>
              </w:rPr>
              <w:t xml:space="preserve">institution receives federal assistance for a portion of the costs to construct buildings or equipment, even if the institutional share is not by law or agreement required as cost sharing, the institution’s share is excluded from cost prior to </w:t>
            </w:r>
            <w:r>
              <w:rPr>
                <w:rFonts w:asciiTheme="minorHAnsi" w:hAnsiTheme="minorHAnsi"/>
                <w:b w:val="0"/>
                <w:sz w:val="22"/>
                <w:szCs w:val="22"/>
              </w:rPr>
              <w:t>calculating</w:t>
            </w:r>
            <w:r w:rsidRPr="00CC6076">
              <w:rPr>
                <w:rFonts w:asciiTheme="minorHAnsi" w:hAnsiTheme="minorHAnsi"/>
                <w:b w:val="0"/>
                <w:sz w:val="22"/>
                <w:szCs w:val="22"/>
              </w:rPr>
              <w:t xml:space="preserve"> depreciation. </w:t>
            </w:r>
          </w:p>
          <w:p w14:paraId="6FC21D72" w14:textId="77777777" w:rsidR="00743D57" w:rsidRPr="00CC6076" w:rsidRDefault="00743D57" w:rsidP="00597F76">
            <w:pPr>
              <w:autoSpaceDE w:val="0"/>
              <w:autoSpaceDN w:val="0"/>
              <w:adjustRightInd w:val="0"/>
              <w:jc w:val="both"/>
              <w:rPr>
                <w:rFonts w:asciiTheme="minorHAnsi" w:hAnsiTheme="minorHAnsi"/>
                <w:b w:val="0"/>
                <w:sz w:val="12"/>
                <w:szCs w:val="12"/>
              </w:rPr>
            </w:pPr>
          </w:p>
          <w:p w14:paraId="04F0921B" w14:textId="77777777" w:rsidR="00743D57" w:rsidRDefault="00743D57" w:rsidP="00597F76">
            <w:pPr>
              <w:autoSpaceDE w:val="0"/>
              <w:autoSpaceDN w:val="0"/>
              <w:adjustRightInd w:val="0"/>
              <w:jc w:val="both"/>
              <w:rPr>
                <w:rFonts w:asciiTheme="minorHAnsi" w:eastAsiaTheme="minorHAnsi" w:hAnsiTheme="minorHAnsi" w:cs="Courier"/>
                <w:b w:val="0"/>
                <w:sz w:val="22"/>
                <w:szCs w:val="22"/>
              </w:rPr>
            </w:pPr>
            <w:r w:rsidRPr="00CC6076">
              <w:rPr>
                <w:rFonts w:asciiTheme="minorHAnsi" w:hAnsiTheme="minorHAnsi"/>
                <w:b w:val="0"/>
                <w:sz w:val="22"/>
                <w:szCs w:val="22"/>
              </w:rPr>
              <w:t xml:space="preserve">200.436(c)(4) states </w:t>
            </w:r>
            <w:r>
              <w:rPr>
                <w:rFonts w:asciiTheme="minorHAnsi" w:hAnsiTheme="minorHAnsi"/>
                <w:b w:val="0"/>
                <w:sz w:val="22"/>
                <w:szCs w:val="22"/>
              </w:rPr>
              <w:t xml:space="preserve">that </w:t>
            </w:r>
            <w:r w:rsidRPr="00CC6076">
              <w:rPr>
                <w:rFonts w:asciiTheme="minorHAnsi" w:hAnsiTheme="minorHAnsi"/>
                <w:b w:val="0"/>
                <w:sz w:val="22"/>
                <w:szCs w:val="22"/>
              </w:rPr>
              <w:t xml:space="preserve">the acquisition cost will exclude only assets </w:t>
            </w:r>
            <w:r w:rsidRPr="00CC6076">
              <w:rPr>
                <w:rFonts w:asciiTheme="minorHAnsi" w:eastAsiaTheme="minorHAnsi" w:hAnsiTheme="minorHAnsi" w:cs="Courier"/>
                <w:b w:val="0"/>
                <w:sz w:val="22"/>
                <w:szCs w:val="22"/>
              </w:rPr>
              <w:t>acquired solely for</w:t>
            </w:r>
            <w:r w:rsidRPr="00A116C4">
              <w:rPr>
                <w:rFonts w:asciiTheme="minorHAnsi" w:eastAsiaTheme="minorHAnsi" w:hAnsiTheme="minorHAnsi" w:cs="Courier"/>
                <w:b w:val="0"/>
                <w:sz w:val="22"/>
                <w:szCs w:val="22"/>
              </w:rPr>
              <w:t xml:space="preserve"> the performance of a non-</w:t>
            </w:r>
            <w:r>
              <w:rPr>
                <w:rFonts w:asciiTheme="minorHAnsi" w:eastAsiaTheme="minorHAnsi" w:hAnsiTheme="minorHAnsi" w:cs="Courier"/>
                <w:b w:val="0"/>
                <w:sz w:val="22"/>
                <w:szCs w:val="22"/>
              </w:rPr>
              <w:t>f</w:t>
            </w:r>
            <w:r w:rsidRPr="00A116C4">
              <w:rPr>
                <w:rFonts w:asciiTheme="minorHAnsi" w:eastAsiaTheme="minorHAnsi" w:hAnsiTheme="minorHAnsi" w:cs="Courier"/>
                <w:b w:val="0"/>
                <w:sz w:val="22"/>
                <w:szCs w:val="22"/>
              </w:rPr>
              <w:t>ederal award</w:t>
            </w:r>
            <w:r>
              <w:rPr>
                <w:rFonts w:asciiTheme="minorHAnsi" w:eastAsiaTheme="minorHAnsi" w:hAnsiTheme="minorHAnsi" w:cs="Courier"/>
                <w:b w:val="0"/>
                <w:sz w:val="22"/>
                <w:szCs w:val="22"/>
              </w:rPr>
              <w:t xml:space="preserve">.  </w:t>
            </w:r>
          </w:p>
          <w:p w14:paraId="77B803F8" w14:textId="77777777" w:rsidR="000B76ED" w:rsidRDefault="000B76ED" w:rsidP="000B76ED">
            <w:pPr>
              <w:autoSpaceDE w:val="0"/>
              <w:autoSpaceDN w:val="0"/>
              <w:adjustRightInd w:val="0"/>
              <w:jc w:val="both"/>
              <w:rPr>
                <w:rFonts w:asciiTheme="minorHAnsi" w:hAnsiTheme="minorHAnsi"/>
                <w:b w:val="0"/>
                <w:sz w:val="22"/>
                <w:szCs w:val="22"/>
              </w:rPr>
            </w:pPr>
          </w:p>
          <w:p w14:paraId="697D47BD" w14:textId="0809C555" w:rsidR="000B76ED" w:rsidRDefault="000457A9" w:rsidP="000B76ED">
            <w:pPr>
              <w:pStyle w:val="Default"/>
              <w:jc w:val="both"/>
              <w:rPr>
                <w:rFonts w:asciiTheme="minorHAnsi" w:hAnsiTheme="minorHAns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0B76ED">
              <w:rPr>
                <w:rFonts w:asciiTheme="minorHAnsi" w:hAnsiTheme="minorHAnsi"/>
                <w:b/>
                <w:i/>
                <w:sz w:val="22"/>
                <w:szCs w:val="22"/>
              </w:rPr>
              <w:t>:</w:t>
            </w:r>
          </w:p>
          <w:p w14:paraId="0636073D" w14:textId="77777777" w:rsidR="000B76ED" w:rsidRPr="0035122B" w:rsidRDefault="000B76ED" w:rsidP="000B76ED">
            <w:pPr>
              <w:pStyle w:val="Default"/>
              <w:jc w:val="both"/>
              <w:rPr>
                <w:rFonts w:asciiTheme="minorHAnsi" w:hAnsiTheme="minorHAnsi"/>
                <w:sz w:val="12"/>
                <w:szCs w:val="12"/>
              </w:rPr>
            </w:pPr>
          </w:p>
          <w:p w14:paraId="39CAD0CE" w14:textId="3971F9A4" w:rsidR="00C0218D" w:rsidRPr="00C0218D" w:rsidRDefault="00C0218D" w:rsidP="00C0218D">
            <w:pPr>
              <w:pStyle w:val="Default"/>
              <w:numPr>
                <w:ilvl w:val="0"/>
                <w:numId w:val="46"/>
              </w:numPr>
              <w:jc w:val="both"/>
              <w:rPr>
                <w:rFonts w:asciiTheme="minorHAnsi" w:hAnsiTheme="minorHAnsi"/>
                <w:sz w:val="22"/>
                <w:szCs w:val="22"/>
              </w:rPr>
            </w:pPr>
            <w:r>
              <w:rPr>
                <w:rFonts w:eastAsia="Calibri"/>
                <w:sz w:val="22"/>
                <w:szCs w:val="22"/>
                <w:u w:color="000000"/>
              </w:rPr>
              <w:t>Review/update institutional equipment policy and disclosure statement regarding software.</w:t>
            </w:r>
          </w:p>
          <w:p w14:paraId="6482D095" w14:textId="0C79017D" w:rsidR="00C0218D" w:rsidRPr="00C0218D" w:rsidRDefault="00C0218D" w:rsidP="00C0218D">
            <w:pPr>
              <w:pStyle w:val="Default"/>
              <w:numPr>
                <w:ilvl w:val="0"/>
                <w:numId w:val="46"/>
              </w:numPr>
              <w:jc w:val="both"/>
              <w:rPr>
                <w:rFonts w:asciiTheme="minorHAnsi" w:hAnsiTheme="minorHAnsi"/>
                <w:sz w:val="22"/>
                <w:szCs w:val="22"/>
              </w:rPr>
            </w:pPr>
            <w:r>
              <w:rPr>
                <w:rFonts w:eastAsia="Calibri"/>
                <w:sz w:val="22"/>
                <w:szCs w:val="22"/>
                <w:u w:color="000000"/>
              </w:rPr>
              <w:t>Include equipment depreciation on non-federal awards that are not acquired solely for the performance of the non-federal award in your next F&amp;A proposal. This is a change from the previous cognizant agency position where remaining depreciation from any non-federal award could be recovered only after the non-federal award ended.</w:t>
            </w:r>
          </w:p>
          <w:p w14:paraId="193ACDD6" w14:textId="66789F9D" w:rsidR="00C0218D" w:rsidRPr="00C0218D" w:rsidRDefault="00C0218D" w:rsidP="00C0218D">
            <w:pPr>
              <w:pStyle w:val="Default"/>
              <w:numPr>
                <w:ilvl w:val="0"/>
                <w:numId w:val="46"/>
              </w:numPr>
              <w:jc w:val="both"/>
              <w:rPr>
                <w:rFonts w:asciiTheme="minorHAnsi" w:hAnsiTheme="minorHAnsi"/>
                <w:sz w:val="22"/>
                <w:szCs w:val="22"/>
              </w:rPr>
            </w:pPr>
            <w:r>
              <w:rPr>
                <w:rFonts w:eastAsia="Calibri"/>
                <w:sz w:val="22"/>
                <w:szCs w:val="22"/>
                <w:u w:color="000000"/>
              </w:rPr>
              <w:t>Notify COGR if depreciation on the institutional contribution associated with buildings and equipment is disallowed.</w:t>
            </w:r>
          </w:p>
          <w:p w14:paraId="28662436" w14:textId="77777777" w:rsidR="00743D57" w:rsidRDefault="00743D57" w:rsidP="00C0218D">
            <w:pPr>
              <w:pStyle w:val="Default"/>
              <w:jc w:val="both"/>
            </w:pPr>
          </w:p>
        </w:tc>
      </w:tr>
      <w:tr w:rsidR="00743D57" w:rsidRPr="004A46A7" w14:paraId="099DABD6" w14:textId="77777777" w:rsidTr="00C81052">
        <w:trPr>
          <w:trHeight w:val="432"/>
        </w:trPr>
        <w:tc>
          <w:tcPr>
            <w:tcW w:w="518" w:type="dxa"/>
          </w:tcPr>
          <w:p w14:paraId="06B1346F" w14:textId="03665B67" w:rsidR="00743D57" w:rsidRPr="009F48BA" w:rsidRDefault="00743D57" w:rsidP="00597F76">
            <w:pPr>
              <w:pStyle w:val="TableContents"/>
              <w:jc w:val="center"/>
              <w:rPr>
                <w:rFonts w:asciiTheme="minorHAnsi" w:hAnsiTheme="minorHAnsi"/>
                <w:sz w:val="22"/>
                <w:szCs w:val="22"/>
              </w:rPr>
            </w:pPr>
            <w:r>
              <w:rPr>
                <w:rFonts w:asciiTheme="minorHAnsi" w:hAnsiTheme="minorHAnsi"/>
                <w:b/>
                <w:bCs/>
                <w:sz w:val="22"/>
                <w:szCs w:val="22"/>
              </w:rPr>
              <w:lastRenderedPageBreak/>
              <w:t>5.</w:t>
            </w:r>
          </w:p>
        </w:tc>
        <w:tc>
          <w:tcPr>
            <w:tcW w:w="1872" w:type="dxa"/>
          </w:tcPr>
          <w:p w14:paraId="573543B0" w14:textId="77777777" w:rsidR="00743D57" w:rsidRDefault="00743D57" w:rsidP="00597F76">
            <w:pPr>
              <w:pStyle w:val="TableContents"/>
              <w:jc w:val="center"/>
              <w:rPr>
                <w:rFonts w:asciiTheme="minorHAnsi" w:eastAsia="Calibri" w:hAnsiTheme="minorHAnsi" w:cs="Calibri"/>
                <w:b/>
                <w:bCs/>
                <w:i/>
                <w:iCs/>
                <w:color w:val="000000"/>
                <w:sz w:val="22"/>
                <w:szCs w:val="22"/>
                <w:u w:color="000000"/>
              </w:rPr>
            </w:pPr>
            <w:r>
              <w:rPr>
                <w:rFonts w:asciiTheme="minorHAnsi" w:eastAsia="Calibri" w:hAnsiTheme="minorHAnsi" w:cs="Calibri"/>
                <w:b/>
                <w:bCs/>
                <w:i/>
                <w:iCs/>
                <w:color w:val="000000"/>
                <w:sz w:val="22"/>
                <w:szCs w:val="22"/>
                <w:u w:color="000000"/>
              </w:rPr>
              <w:t xml:space="preserve">1.3% </w:t>
            </w:r>
            <w:r w:rsidRPr="009F48BA">
              <w:rPr>
                <w:rFonts w:asciiTheme="minorHAnsi" w:eastAsia="Calibri" w:hAnsiTheme="minorHAnsi" w:cs="Calibri"/>
                <w:b/>
                <w:bCs/>
                <w:i/>
                <w:iCs/>
                <w:color w:val="000000"/>
                <w:sz w:val="22"/>
                <w:szCs w:val="22"/>
                <w:u w:color="000000"/>
              </w:rPr>
              <w:t>Utility</w:t>
            </w:r>
          </w:p>
          <w:p w14:paraId="3172AE13" w14:textId="77777777" w:rsidR="00743D57" w:rsidRPr="009F48BA" w:rsidRDefault="00743D57" w:rsidP="00597F76">
            <w:pPr>
              <w:pStyle w:val="TableContents"/>
              <w:jc w:val="center"/>
              <w:rPr>
                <w:rFonts w:asciiTheme="minorHAnsi" w:eastAsia="Calibri" w:hAnsiTheme="minorHAnsi" w:cs="Calibri"/>
                <w:b/>
                <w:bCs/>
                <w:i/>
                <w:iCs/>
                <w:sz w:val="22"/>
                <w:szCs w:val="22"/>
              </w:rPr>
            </w:pPr>
            <w:r w:rsidRPr="009F48BA">
              <w:rPr>
                <w:rFonts w:asciiTheme="minorHAnsi" w:eastAsia="Calibri" w:hAnsiTheme="minorHAnsi" w:cs="Calibri"/>
                <w:b/>
                <w:bCs/>
                <w:i/>
                <w:iCs/>
                <w:color w:val="000000"/>
                <w:sz w:val="22"/>
                <w:szCs w:val="22"/>
                <w:u w:color="000000"/>
              </w:rPr>
              <w:t>Cost Adjustment</w:t>
            </w:r>
          </w:p>
          <w:p w14:paraId="178CE167" w14:textId="77777777" w:rsidR="00743D57" w:rsidRPr="008E3D22" w:rsidRDefault="00743D57" w:rsidP="00597F76">
            <w:pPr>
              <w:pStyle w:val="TableContents"/>
              <w:jc w:val="center"/>
              <w:rPr>
                <w:rFonts w:asciiTheme="minorHAnsi" w:hAnsiTheme="minorHAnsi"/>
                <w:sz w:val="12"/>
                <w:szCs w:val="12"/>
              </w:rPr>
            </w:pPr>
          </w:p>
          <w:p w14:paraId="12AFDF5F" w14:textId="0848BE76" w:rsidR="00743D57" w:rsidRPr="008E3D22" w:rsidRDefault="00743D57" w:rsidP="000B76ED">
            <w:pPr>
              <w:pStyle w:val="TableContents"/>
              <w:jc w:val="center"/>
              <w:rPr>
                <w:rFonts w:asciiTheme="minorHAnsi" w:eastAsia="Calibri" w:hAnsiTheme="minorHAnsi" w:cs="Calibri"/>
                <w:b/>
                <w:bCs/>
                <w:sz w:val="22"/>
                <w:szCs w:val="22"/>
              </w:rPr>
            </w:pPr>
            <w:r>
              <w:rPr>
                <w:rFonts w:asciiTheme="minorHAnsi" w:hAnsiTheme="minorHAnsi"/>
                <w:b/>
                <w:bCs/>
                <w:sz w:val="22"/>
                <w:szCs w:val="22"/>
              </w:rPr>
              <w:t>(</w:t>
            </w:r>
            <w:r w:rsidRPr="009F48BA">
              <w:rPr>
                <w:rFonts w:asciiTheme="minorHAnsi" w:eastAsia="Calibri" w:hAnsiTheme="minorHAnsi" w:cs="Calibri"/>
                <w:b/>
                <w:bCs/>
                <w:sz w:val="22"/>
                <w:szCs w:val="22"/>
              </w:rPr>
              <w:t>App</w:t>
            </w:r>
            <w:r>
              <w:rPr>
                <w:rFonts w:asciiTheme="minorHAnsi" w:eastAsia="Calibri" w:hAnsiTheme="minorHAnsi" w:cs="Calibri"/>
                <w:b/>
                <w:bCs/>
                <w:sz w:val="22"/>
                <w:szCs w:val="22"/>
              </w:rPr>
              <w:t>endix</w:t>
            </w:r>
            <w:r w:rsidRPr="009F48BA">
              <w:rPr>
                <w:rFonts w:asciiTheme="minorHAnsi" w:eastAsia="Calibri" w:hAnsiTheme="minorHAnsi" w:cs="Calibri"/>
                <w:b/>
                <w:bCs/>
                <w:sz w:val="22"/>
                <w:szCs w:val="22"/>
              </w:rPr>
              <w:t xml:space="preserve"> </w:t>
            </w:r>
            <w:r>
              <w:rPr>
                <w:rFonts w:asciiTheme="minorHAnsi" w:eastAsia="Calibri" w:hAnsiTheme="minorHAnsi" w:cs="Calibri"/>
                <w:b/>
                <w:bCs/>
                <w:sz w:val="22"/>
                <w:szCs w:val="22"/>
              </w:rPr>
              <w:t>III</w:t>
            </w:r>
            <w:r w:rsidRPr="009F48BA">
              <w:rPr>
                <w:rFonts w:asciiTheme="minorHAnsi" w:eastAsia="Calibri" w:hAnsiTheme="minorHAnsi" w:cs="Calibri"/>
                <w:b/>
                <w:bCs/>
                <w:sz w:val="22"/>
                <w:szCs w:val="22"/>
              </w:rPr>
              <w:t>)</w:t>
            </w:r>
          </w:p>
        </w:tc>
        <w:tc>
          <w:tcPr>
            <w:tcW w:w="12010" w:type="dxa"/>
          </w:tcPr>
          <w:p w14:paraId="001906C6" w14:textId="5EC3FF2A" w:rsidR="00743D57" w:rsidRDefault="000B76ED" w:rsidP="00597F76">
            <w:pPr>
              <w:pStyle w:val="TableContents"/>
              <w:jc w:val="both"/>
              <w:rPr>
                <w:rFonts w:ascii="Calibri" w:hAnsi="Calibri"/>
                <w:sz w:val="22"/>
                <w:szCs w:val="22"/>
              </w:rPr>
            </w:pPr>
            <w:r>
              <w:rPr>
                <w:rFonts w:ascii="Calibri" w:hAnsi="Calibri"/>
                <w:sz w:val="22"/>
                <w:szCs w:val="22"/>
              </w:rPr>
              <w:t>Appendix III, B.4.c, states that a</w:t>
            </w:r>
            <w:r w:rsidR="00743D57" w:rsidRPr="008E3D22">
              <w:rPr>
                <w:rFonts w:ascii="Calibri" w:hAnsi="Calibri"/>
                <w:sz w:val="22"/>
                <w:szCs w:val="22"/>
              </w:rPr>
              <w:t xml:space="preserve"> utility cost adjustment of up to 1.3 percentage points may be included in the negotiated indirect cost rate for organized research</w:t>
            </w:r>
            <w:r w:rsidR="00743D57">
              <w:rPr>
                <w:rFonts w:ascii="Calibri" w:hAnsi="Calibri"/>
                <w:sz w:val="22"/>
                <w:szCs w:val="22"/>
              </w:rPr>
              <w:t xml:space="preserve">. </w:t>
            </w:r>
            <w:r w:rsidR="00743D57" w:rsidRPr="008E3D22">
              <w:rPr>
                <w:rFonts w:ascii="Calibri" w:hAnsi="Calibri"/>
                <w:sz w:val="22"/>
                <w:szCs w:val="22"/>
              </w:rPr>
              <w:t>FAQ .110-2 states that F&amp;A rate proposals based on FY14 and after can be developed using provisions in the UG</w:t>
            </w:r>
            <w:r w:rsidR="00743D57">
              <w:rPr>
                <w:rFonts w:ascii="Calibri" w:hAnsi="Calibri"/>
                <w:sz w:val="22"/>
                <w:szCs w:val="22"/>
              </w:rPr>
              <w:t xml:space="preserve">. </w:t>
            </w:r>
            <w:r w:rsidR="00743D57" w:rsidRPr="008E3D22">
              <w:rPr>
                <w:rFonts w:ascii="Calibri" w:hAnsi="Calibri"/>
                <w:sz w:val="22"/>
                <w:szCs w:val="22"/>
              </w:rPr>
              <w:t>FAQ Appendix III-1 specifies that IHEs and cognizant agencies should address issues related to the 1.3% UCA in a collaborative manner.</w:t>
            </w:r>
          </w:p>
          <w:p w14:paraId="27DBF28A" w14:textId="77777777" w:rsidR="000B76ED" w:rsidRDefault="000B76ED" w:rsidP="000B76ED">
            <w:pPr>
              <w:autoSpaceDE w:val="0"/>
              <w:autoSpaceDN w:val="0"/>
              <w:adjustRightInd w:val="0"/>
              <w:jc w:val="both"/>
              <w:rPr>
                <w:rFonts w:asciiTheme="minorHAnsi" w:hAnsiTheme="minorHAnsi"/>
                <w:b w:val="0"/>
                <w:sz w:val="22"/>
                <w:szCs w:val="22"/>
              </w:rPr>
            </w:pPr>
          </w:p>
          <w:p w14:paraId="3BF47006" w14:textId="3AEF736A" w:rsidR="000B76ED" w:rsidRDefault="000457A9" w:rsidP="000B76ED">
            <w:pPr>
              <w:pStyle w:val="Default"/>
              <w:jc w:val="both"/>
              <w:rPr>
                <w:rFonts w:asciiTheme="minorHAnsi" w:hAnsiTheme="minorHAnsi"/>
                <w:b/>
                <w: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0B76ED">
              <w:rPr>
                <w:rFonts w:asciiTheme="minorHAnsi" w:hAnsiTheme="minorHAnsi"/>
                <w:b/>
                <w:i/>
                <w:sz w:val="22"/>
                <w:szCs w:val="22"/>
              </w:rPr>
              <w:t>:</w:t>
            </w:r>
          </w:p>
          <w:p w14:paraId="096B81C7" w14:textId="77777777" w:rsidR="00C81052" w:rsidRPr="0035122B" w:rsidRDefault="00C81052" w:rsidP="000B76ED">
            <w:pPr>
              <w:pStyle w:val="Default"/>
              <w:jc w:val="both"/>
              <w:rPr>
                <w:rFonts w:asciiTheme="minorHAnsi" w:hAnsiTheme="minorHAnsi"/>
                <w:sz w:val="12"/>
                <w:szCs w:val="12"/>
              </w:rPr>
            </w:pPr>
          </w:p>
          <w:p w14:paraId="493051A8" w14:textId="6D0E95DA" w:rsidR="00743D57" w:rsidRDefault="00743D57" w:rsidP="004C28F6">
            <w:pPr>
              <w:pStyle w:val="ListParagraph"/>
              <w:numPr>
                <w:ilvl w:val="0"/>
                <w:numId w:val="34"/>
              </w:numPr>
              <w:autoSpaceDE w:val="0"/>
              <w:autoSpaceDN w:val="0"/>
              <w:adjustRightInd w:val="0"/>
              <w:jc w:val="both"/>
              <w:rPr>
                <w:sz w:val="22"/>
                <w:szCs w:val="22"/>
              </w:rPr>
            </w:pPr>
            <w:r w:rsidRPr="000B76ED">
              <w:rPr>
                <w:sz w:val="22"/>
                <w:szCs w:val="22"/>
              </w:rPr>
              <w:t xml:space="preserve">COGR’s understanding of CAS’s current position is that </w:t>
            </w:r>
            <w:r w:rsidR="0035122B">
              <w:rPr>
                <w:sz w:val="22"/>
                <w:szCs w:val="22"/>
              </w:rPr>
              <w:t xml:space="preserve">CAS </w:t>
            </w:r>
            <w:r w:rsidR="0015259D">
              <w:rPr>
                <w:sz w:val="22"/>
                <w:szCs w:val="22"/>
              </w:rPr>
              <w:t xml:space="preserve">may (or may not) not </w:t>
            </w:r>
            <w:r w:rsidRPr="000B76ED">
              <w:rPr>
                <w:sz w:val="22"/>
                <w:szCs w:val="22"/>
              </w:rPr>
              <w:t xml:space="preserve">accept the UCA factor </w:t>
            </w:r>
            <w:r w:rsidR="0015259D">
              <w:rPr>
                <w:sz w:val="22"/>
                <w:szCs w:val="22"/>
              </w:rPr>
              <w:t xml:space="preserve">for IHEs that have never had the UCA, until </w:t>
            </w:r>
            <w:r w:rsidRPr="000B76ED">
              <w:rPr>
                <w:sz w:val="22"/>
                <w:szCs w:val="22"/>
              </w:rPr>
              <w:t>base year FY2016.  For institutions with FY2014 or FY2015 base years:</w:t>
            </w:r>
          </w:p>
          <w:p w14:paraId="310AC0CC" w14:textId="4EE48418" w:rsidR="000B76ED" w:rsidRPr="00C81052" w:rsidRDefault="000B76ED" w:rsidP="004C28F6">
            <w:pPr>
              <w:pStyle w:val="ListParagraph"/>
              <w:numPr>
                <w:ilvl w:val="0"/>
                <w:numId w:val="35"/>
              </w:numPr>
              <w:autoSpaceDE w:val="0"/>
              <w:autoSpaceDN w:val="0"/>
              <w:adjustRightInd w:val="0"/>
              <w:jc w:val="both"/>
              <w:rPr>
                <w:sz w:val="22"/>
                <w:szCs w:val="22"/>
              </w:rPr>
            </w:pPr>
            <w:r w:rsidRPr="000B76ED">
              <w:rPr>
                <w:sz w:val="22"/>
                <w:szCs w:val="22"/>
              </w:rPr>
              <w:t>I</w:t>
            </w:r>
            <w:r>
              <w:rPr>
                <w:sz w:val="22"/>
                <w:szCs w:val="22"/>
              </w:rPr>
              <w:t xml:space="preserve">HEs </w:t>
            </w:r>
            <w:r w:rsidRPr="00C81052">
              <w:rPr>
                <w:sz w:val="22"/>
                <w:szCs w:val="22"/>
              </w:rPr>
              <w:t>already receiving the 1.3% should add the 1.3% as they have in the past without additional justification.</w:t>
            </w:r>
          </w:p>
          <w:p w14:paraId="2FAC7818" w14:textId="3D3FCDBC" w:rsidR="000B76ED" w:rsidRDefault="000B76ED" w:rsidP="004C28F6">
            <w:pPr>
              <w:pStyle w:val="ListParagraph"/>
              <w:numPr>
                <w:ilvl w:val="0"/>
                <w:numId w:val="35"/>
              </w:numPr>
              <w:autoSpaceDE w:val="0"/>
              <w:autoSpaceDN w:val="0"/>
              <w:adjustRightInd w:val="0"/>
              <w:jc w:val="both"/>
              <w:rPr>
                <w:sz w:val="22"/>
                <w:szCs w:val="22"/>
              </w:rPr>
            </w:pPr>
            <w:r w:rsidRPr="00C81052">
              <w:rPr>
                <w:sz w:val="22"/>
                <w:szCs w:val="22"/>
              </w:rPr>
              <w:t xml:space="preserve">IHEs that have never received the 1.3% </w:t>
            </w:r>
            <w:r w:rsidR="0035122B">
              <w:rPr>
                <w:sz w:val="22"/>
                <w:szCs w:val="22"/>
              </w:rPr>
              <w:t xml:space="preserve">should </w:t>
            </w:r>
            <w:r w:rsidRPr="00C81052">
              <w:rPr>
                <w:sz w:val="22"/>
                <w:szCs w:val="22"/>
              </w:rPr>
              <w:t>add in a factor with a justification, but at this point there is no indication that CAS will</w:t>
            </w:r>
            <w:r w:rsidR="004E7AC0">
              <w:rPr>
                <w:sz w:val="22"/>
                <w:szCs w:val="22"/>
              </w:rPr>
              <w:t>/will not</w:t>
            </w:r>
            <w:r w:rsidRPr="00C81052">
              <w:rPr>
                <w:sz w:val="22"/>
                <w:szCs w:val="22"/>
              </w:rPr>
              <w:t xml:space="preserve"> accept the adjustment.</w:t>
            </w:r>
          </w:p>
          <w:p w14:paraId="535DD3B3" w14:textId="64F68BC2" w:rsidR="00C81052" w:rsidRPr="00C81052" w:rsidRDefault="00C81052" w:rsidP="004C28F6">
            <w:pPr>
              <w:pStyle w:val="ListParagraph"/>
              <w:numPr>
                <w:ilvl w:val="0"/>
                <w:numId w:val="35"/>
              </w:numPr>
              <w:autoSpaceDE w:val="0"/>
              <w:autoSpaceDN w:val="0"/>
              <w:adjustRightInd w:val="0"/>
              <w:jc w:val="both"/>
              <w:rPr>
                <w:sz w:val="22"/>
                <w:szCs w:val="22"/>
              </w:rPr>
            </w:pPr>
            <w:r w:rsidRPr="00C645B8">
              <w:rPr>
                <w:sz w:val="22"/>
                <w:szCs w:val="22"/>
              </w:rPr>
              <w:t xml:space="preserve">Proposals based on FY2016 and beyond </w:t>
            </w:r>
            <w:r w:rsidR="004E7AC0">
              <w:rPr>
                <w:sz w:val="22"/>
                <w:szCs w:val="22"/>
              </w:rPr>
              <w:t xml:space="preserve">should </w:t>
            </w:r>
            <w:r>
              <w:rPr>
                <w:sz w:val="22"/>
                <w:szCs w:val="22"/>
              </w:rPr>
              <w:t xml:space="preserve"> include the UCA factor with the appropriate </w:t>
            </w:r>
            <w:r w:rsidRPr="00C645B8">
              <w:rPr>
                <w:sz w:val="22"/>
                <w:szCs w:val="22"/>
              </w:rPr>
              <w:t>justification</w:t>
            </w:r>
            <w:r>
              <w:rPr>
                <w:sz w:val="22"/>
                <w:szCs w:val="22"/>
              </w:rPr>
              <w:t>.</w:t>
            </w:r>
          </w:p>
          <w:p w14:paraId="13871D39" w14:textId="747B6788" w:rsidR="000B76ED" w:rsidRDefault="00C81052" w:rsidP="004C28F6">
            <w:pPr>
              <w:pStyle w:val="ListParagraph"/>
              <w:numPr>
                <w:ilvl w:val="0"/>
                <w:numId w:val="34"/>
              </w:numPr>
              <w:autoSpaceDE w:val="0"/>
              <w:autoSpaceDN w:val="0"/>
              <w:adjustRightInd w:val="0"/>
              <w:jc w:val="both"/>
              <w:rPr>
                <w:sz w:val="22"/>
                <w:szCs w:val="22"/>
              </w:rPr>
            </w:pPr>
            <w:r>
              <w:rPr>
                <w:sz w:val="22"/>
                <w:szCs w:val="22"/>
              </w:rPr>
              <w:t xml:space="preserve">COGR’s understanding of </w:t>
            </w:r>
            <w:r w:rsidRPr="00C645B8">
              <w:rPr>
                <w:sz w:val="22"/>
                <w:szCs w:val="22"/>
              </w:rPr>
              <w:t>ONR</w:t>
            </w:r>
            <w:r>
              <w:rPr>
                <w:sz w:val="22"/>
                <w:szCs w:val="22"/>
              </w:rPr>
              <w:t>’s current position is that institutions will be allowed to include the UCA</w:t>
            </w:r>
            <w:r w:rsidR="004E7AC0">
              <w:rPr>
                <w:sz w:val="22"/>
                <w:szCs w:val="22"/>
              </w:rPr>
              <w:t>,</w:t>
            </w:r>
            <w:r>
              <w:rPr>
                <w:sz w:val="22"/>
                <w:szCs w:val="22"/>
              </w:rPr>
              <w:t xml:space="preserve"> but </w:t>
            </w:r>
            <w:r w:rsidR="00536EF5">
              <w:rPr>
                <w:sz w:val="22"/>
                <w:szCs w:val="22"/>
              </w:rPr>
              <w:t>may</w:t>
            </w:r>
            <w:r>
              <w:rPr>
                <w:sz w:val="22"/>
                <w:szCs w:val="22"/>
              </w:rPr>
              <w:t xml:space="preserve"> need to calculate and justify it beginning with FY2014, regardless of whether </w:t>
            </w:r>
            <w:r w:rsidR="00536EF5">
              <w:rPr>
                <w:sz w:val="22"/>
                <w:szCs w:val="22"/>
              </w:rPr>
              <w:t xml:space="preserve">or not </w:t>
            </w:r>
            <w:r>
              <w:rPr>
                <w:sz w:val="22"/>
                <w:szCs w:val="22"/>
              </w:rPr>
              <w:t>the institution previously received the UCA.</w:t>
            </w:r>
          </w:p>
          <w:p w14:paraId="7494BEE0" w14:textId="5311A916" w:rsidR="00C81052" w:rsidRDefault="00C81052" w:rsidP="004C28F6">
            <w:pPr>
              <w:pStyle w:val="ListParagraph"/>
              <w:numPr>
                <w:ilvl w:val="0"/>
                <w:numId w:val="34"/>
              </w:numPr>
              <w:autoSpaceDE w:val="0"/>
              <w:autoSpaceDN w:val="0"/>
              <w:adjustRightInd w:val="0"/>
              <w:jc w:val="both"/>
              <w:rPr>
                <w:sz w:val="22"/>
                <w:szCs w:val="22"/>
              </w:rPr>
            </w:pPr>
            <w:r>
              <w:rPr>
                <w:rFonts w:ascii="Calibri" w:hAnsi="Calibri"/>
                <w:sz w:val="22"/>
                <w:szCs w:val="22"/>
              </w:rPr>
              <w:t>Pay close attention to new developments related to application of the 1.3% UCA. This issue is unsettled and more clarification should be provided shortly</w:t>
            </w:r>
            <w:r w:rsidR="006B3099">
              <w:rPr>
                <w:rFonts w:ascii="Calibri" w:hAnsi="Calibri"/>
                <w:sz w:val="22"/>
                <w:szCs w:val="22"/>
              </w:rPr>
              <w:t>.</w:t>
            </w:r>
          </w:p>
          <w:p w14:paraId="40369923" w14:textId="77777777" w:rsidR="00743D57" w:rsidRDefault="00743D57" w:rsidP="00C81052">
            <w:pPr>
              <w:pStyle w:val="TableContents"/>
              <w:jc w:val="both"/>
            </w:pPr>
          </w:p>
        </w:tc>
      </w:tr>
      <w:tr w:rsidR="00743D57" w:rsidRPr="004A46A7" w14:paraId="484D68E7" w14:textId="77777777" w:rsidTr="00C81052">
        <w:trPr>
          <w:trHeight w:val="432"/>
        </w:trPr>
        <w:tc>
          <w:tcPr>
            <w:tcW w:w="518" w:type="dxa"/>
          </w:tcPr>
          <w:p w14:paraId="494745D3" w14:textId="77777777" w:rsidR="00743D57" w:rsidRPr="009F48BA" w:rsidRDefault="00743D57" w:rsidP="00597F76">
            <w:pPr>
              <w:pStyle w:val="TableContents"/>
              <w:jc w:val="center"/>
              <w:rPr>
                <w:rFonts w:asciiTheme="minorHAnsi" w:hAnsiTheme="minorHAnsi"/>
                <w:sz w:val="22"/>
                <w:szCs w:val="22"/>
              </w:rPr>
            </w:pPr>
            <w:r>
              <w:rPr>
                <w:rFonts w:asciiTheme="minorHAnsi" w:hAnsiTheme="minorHAnsi"/>
                <w:b/>
                <w:bCs/>
                <w:sz w:val="22"/>
                <w:szCs w:val="22"/>
              </w:rPr>
              <w:t>6.</w:t>
            </w:r>
          </w:p>
        </w:tc>
        <w:tc>
          <w:tcPr>
            <w:tcW w:w="1872" w:type="dxa"/>
          </w:tcPr>
          <w:p w14:paraId="4E4E9268" w14:textId="77777777" w:rsidR="00743D57" w:rsidRPr="009F48BA" w:rsidRDefault="00743D57" w:rsidP="00597F76">
            <w:pPr>
              <w:pStyle w:val="TableContents"/>
              <w:jc w:val="center"/>
              <w:rPr>
                <w:rFonts w:asciiTheme="minorHAnsi" w:eastAsia="Calibri" w:hAnsiTheme="minorHAnsi" w:cs="Calibri"/>
                <w:b/>
                <w:bCs/>
                <w:i/>
                <w:iCs/>
                <w:sz w:val="22"/>
                <w:szCs w:val="22"/>
              </w:rPr>
            </w:pPr>
            <w:r>
              <w:rPr>
                <w:rFonts w:asciiTheme="minorHAnsi" w:eastAsia="Calibri" w:hAnsiTheme="minorHAnsi" w:cs="Calibri"/>
                <w:b/>
                <w:bCs/>
                <w:i/>
                <w:iCs/>
                <w:color w:val="000000"/>
                <w:sz w:val="22"/>
                <w:szCs w:val="22"/>
                <w:u w:color="000000"/>
              </w:rPr>
              <w:t xml:space="preserve">Treatment of DA </w:t>
            </w:r>
            <w:r>
              <w:rPr>
                <w:rFonts w:asciiTheme="minorHAnsi" w:eastAsia="Calibri" w:hAnsiTheme="minorHAnsi" w:cs="Calibri"/>
                <w:b/>
                <w:bCs/>
                <w:i/>
                <w:iCs/>
                <w:color w:val="000000"/>
                <w:sz w:val="22"/>
                <w:szCs w:val="22"/>
                <w:u w:color="000000"/>
              </w:rPr>
              <w:lastRenderedPageBreak/>
              <w:t>expenses and the DCE</w:t>
            </w:r>
          </w:p>
          <w:p w14:paraId="3753890E" w14:textId="77777777" w:rsidR="00743D57" w:rsidRPr="008E3D22" w:rsidRDefault="00743D57" w:rsidP="00597F76">
            <w:pPr>
              <w:pStyle w:val="TableContents"/>
              <w:jc w:val="center"/>
              <w:rPr>
                <w:rFonts w:asciiTheme="minorHAnsi" w:hAnsiTheme="minorHAnsi"/>
                <w:sz w:val="12"/>
                <w:szCs w:val="12"/>
              </w:rPr>
            </w:pPr>
          </w:p>
          <w:p w14:paraId="1ABDBFCC" w14:textId="18D2E61A" w:rsidR="00743D57" w:rsidRDefault="00743D57" w:rsidP="00597F76">
            <w:pPr>
              <w:pStyle w:val="TableContents"/>
              <w:jc w:val="center"/>
              <w:rPr>
                <w:rFonts w:asciiTheme="minorHAnsi" w:eastAsia="Calibri" w:hAnsiTheme="minorHAnsi" w:cs="Calibri"/>
                <w:b/>
                <w:bCs/>
                <w:sz w:val="22"/>
                <w:szCs w:val="22"/>
              </w:rPr>
            </w:pPr>
            <w:r>
              <w:rPr>
                <w:rFonts w:asciiTheme="minorHAnsi" w:hAnsiTheme="minorHAnsi"/>
                <w:b/>
                <w:bCs/>
                <w:sz w:val="22"/>
                <w:szCs w:val="22"/>
              </w:rPr>
              <w:t>(</w:t>
            </w:r>
            <w:r w:rsidRPr="009F48BA">
              <w:rPr>
                <w:rFonts w:asciiTheme="minorHAnsi" w:eastAsia="Calibri" w:hAnsiTheme="minorHAnsi" w:cs="Calibri"/>
                <w:b/>
                <w:bCs/>
                <w:sz w:val="22"/>
                <w:szCs w:val="22"/>
              </w:rPr>
              <w:t>App</w:t>
            </w:r>
            <w:r>
              <w:rPr>
                <w:rFonts w:asciiTheme="minorHAnsi" w:eastAsia="Calibri" w:hAnsiTheme="minorHAnsi" w:cs="Calibri"/>
                <w:b/>
                <w:bCs/>
                <w:sz w:val="22"/>
                <w:szCs w:val="22"/>
              </w:rPr>
              <w:t>endix</w:t>
            </w:r>
            <w:r w:rsidRPr="009F48BA">
              <w:rPr>
                <w:rFonts w:asciiTheme="minorHAnsi" w:eastAsia="Calibri" w:hAnsiTheme="minorHAnsi" w:cs="Calibri"/>
                <w:b/>
                <w:bCs/>
                <w:sz w:val="22"/>
                <w:szCs w:val="22"/>
              </w:rPr>
              <w:t xml:space="preserve"> </w:t>
            </w:r>
            <w:r>
              <w:rPr>
                <w:rFonts w:asciiTheme="minorHAnsi" w:eastAsia="Calibri" w:hAnsiTheme="minorHAnsi" w:cs="Calibri"/>
                <w:b/>
                <w:bCs/>
                <w:sz w:val="22"/>
                <w:szCs w:val="22"/>
              </w:rPr>
              <w:t>III</w:t>
            </w:r>
            <w:r w:rsidRPr="009F48BA">
              <w:rPr>
                <w:rFonts w:asciiTheme="minorHAnsi" w:eastAsia="Calibri" w:hAnsiTheme="minorHAnsi" w:cs="Calibri"/>
                <w:b/>
                <w:bCs/>
                <w:sz w:val="22"/>
                <w:szCs w:val="22"/>
              </w:rPr>
              <w:t>)</w:t>
            </w:r>
          </w:p>
          <w:p w14:paraId="7C73A330" w14:textId="77777777" w:rsidR="00743D57" w:rsidRPr="009F48BA" w:rsidRDefault="00743D57" w:rsidP="00597F76">
            <w:pPr>
              <w:pStyle w:val="TableContents"/>
              <w:jc w:val="center"/>
              <w:rPr>
                <w:rFonts w:asciiTheme="minorHAnsi" w:hAnsiTheme="minorHAnsi"/>
                <w:sz w:val="22"/>
                <w:szCs w:val="22"/>
              </w:rPr>
            </w:pPr>
          </w:p>
        </w:tc>
        <w:tc>
          <w:tcPr>
            <w:tcW w:w="12010" w:type="dxa"/>
          </w:tcPr>
          <w:p w14:paraId="6DD22259" w14:textId="77777777" w:rsidR="00C81052" w:rsidRDefault="00743D57" w:rsidP="00C81052">
            <w:pPr>
              <w:pStyle w:val="TableContents"/>
              <w:jc w:val="both"/>
              <w:rPr>
                <w:rFonts w:asciiTheme="minorHAnsi" w:hAnsiTheme="minorHAnsi"/>
                <w:sz w:val="22"/>
                <w:szCs w:val="22"/>
              </w:rPr>
            </w:pPr>
            <w:r>
              <w:rPr>
                <w:rFonts w:asciiTheme="minorHAnsi" w:hAnsiTheme="minorHAnsi"/>
                <w:sz w:val="22"/>
                <w:szCs w:val="22"/>
              </w:rPr>
              <w:lastRenderedPageBreak/>
              <w:t xml:space="preserve">Appendix III, B.6.a eliminates the language from A-21 F.6.b(2) which stated that administrative and clerical salaries should normally </w:t>
            </w:r>
            <w:r>
              <w:rPr>
                <w:rFonts w:asciiTheme="minorHAnsi" w:hAnsiTheme="minorHAnsi"/>
                <w:sz w:val="22"/>
                <w:szCs w:val="22"/>
              </w:rPr>
              <w:lastRenderedPageBreak/>
              <w:t>be treated as F&amp;A costs unless they could be specifically identified to a “major project”.</w:t>
            </w:r>
          </w:p>
          <w:p w14:paraId="15DE1CEB" w14:textId="77777777" w:rsidR="00C81052" w:rsidRDefault="00C81052" w:rsidP="00C81052">
            <w:pPr>
              <w:pStyle w:val="TableContents"/>
              <w:jc w:val="both"/>
              <w:rPr>
                <w:rFonts w:asciiTheme="minorHAnsi" w:hAnsiTheme="minorHAnsi"/>
                <w:sz w:val="22"/>
                <w:szCs w:val="22"/>
              </w:rPr>
            </w:pPr>
          </w:p>
          <w:p w14:paraId="6A4B70CF" w14:textId="0FD4279E" w:rsidR="00C81052" w:rsidRDefault="000457A9" w:rsidP="00C81052">
            <w:pPr>
              <w:pStyle w:val="Default"/>
              <w:jc w:val="both"/>
              <w:rPr>
                <w:rFonts w:asciiTheme="minorHAnsi" w:hAnsiTheme="minorHAnsi"/>
                <w:b/>
                <w: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C81052">
              <w:rPr>
                <w:rFonts w:asciiTheme="minorHAnsi" w:hAnsiTheme="minorHAnsi"/>
                <w:b/>
                <w:i/>
                <w:sz w:val="22"/>
                <w:szCs w:val="22"/>
              </w:rPr>
              <w:t>:</w:t>
            </w:r>
          </w:p>
          <w:p w14:paraId="6B33988D" w14:textId="77777777" w:rsidR="00C81052" w:rsidRPr="0035122B" w:rsidRDefault="00C81052" w:rsidP="00C81052">
            <w:pPr>
              <w:pStyle w:val="Default"/>
              <w:jc w:val="both"/>
              <w:rPr>
                <w:rFonts w:asciiTheme="minorHAnsi" w:hAnsiTheme="minorHAnsi"/>
                <w:sz w:val="12"/>
                <w:szCs w:val="12"/>
              </w:rPr>
            </w:pPr>
          </w:p>
          <w:p w14:paraId="50230760" w14:textId="4AD1FA48" w:rsidR="00C81052" w:rsidRPr="00BA0501" w:rsidRDefault="00C81052" w:rsidP="004C28F6">
            <w:pPr>
              <w:pStyle w:val="ListParagraph"/>
              <w:numPr>
                <w:ilvl w:val="0"/>
                <w:numId w:val="36"/>
              </w:numPr>
              <w:autoSpaceDE w:val="0"/>
              <w:autoSpaceDN w:val="0"/>
              <w:adjustRightInd w:val="0"/>
              <w:jc w:val="both"/>
              <w:rPr>
                <w:sz w:val="22"/>
                <w:szCs w:val="22"/>
              </w:rPr>
            </w:pPr>
            <w:r>
              <w:rPr>
                <w:sz w:val="22"/>
                <w:szCs w:val="22"/>
              </w:rPr>
              <w:t xml:space="preserve">For those institutions using a Direct Charge Equivalent (DCE) to build their DA cost pool, this change in costing could affect the DCE ratio. It is assumed that the </w:t>
            </w:r>
            <w:r w:rsidRPr="00BA0501">
              <w:rPr>
                <w:sz w:val="22"/>
                <w:szCs w:val="22"/>
              </w:rPr>
              <w:t>change in language regarding administrative and clerical salaries will allow for more direct charging of these costs</w:t>
            </w:r>
            <w:r w:rsidR="00BA0501" w:rsidRPr="00BA0501">
              <w:rPr>
                <w:sz w:val="22"/>
                <w:szCs w:val="22"/>
              </w:rPr>
              <w:t>, which could</w:t>
            </w:r>
            <w:r w:rsidRPr="00BA0501">
              <w:rPr>
                <w:sz w:val="22"/>
                <w:szCs w:val="22"/>
              </w:rPr>
              <w:t xml:space="preserve"> raise DCE ratios and lower DA </w:t>
            </w:r>
            <w:r w:rsidR="004E7AC0" w:rsidRPr="00BA0501">
              <w:rPr>
                <w:sz w:val="22"/>
                <w:szCs w:val="22"/>
              </w:rPr>
              <w:t>costs</w:t>
            </w:r>
            <w:r w:rsidRPr="00BA0501">
              <w:rPr>
                <w:sz w:val="22"/>
                <w:szCs w:val="22"/>
              </w:rPr>
              <w:t>.</w:t>
            </w:r>
          </w:p>
          <w:p w14:paraId="357053E2" w14:textId="530D806A" w:rsidR="00C81052" w:rsidRPr="00BA0501" w:rsidRDefault="00BA0501" w:rsidP="004C28F6">
            <w:pPr>
              <w:pStyle w:val="ListParagraph"/>
              <w:numPr>
                <w:ilvl w:val="0"/>
                <w:numId w:val="36"/>
              </w:numPr>
              <w:autoSpaceDE w:val="0"/>
              <w:autoSpaceDN w:val="0"/>
              <w:adjustRightInd w:val="0"/>
              <w:jc w:val="both"/>
              <w:rPr>
                <w:sz w:val="22"/>
                <w:szCs w:val="22"/>
              </w:rPr>
            </w:pPr>
            <w:r w:rsidRPr="00BA0501">
              <w:rPr>
                <w:sz w:val="22"/>
                <w:szCs w:val="22"/>
              </w:rPr>
              <w:t xml:space="preserve">The DCE is predicated on the treatment of </w:t>
            </w:r>
            <w:r w:rsidR="00C81052" w:rsidRPr="00BA0501">
              <w:rPr>
                <w:sz w:val="22"/>
                <w:szCs w:val="22"/>
              </w:rPr>
              <w:t>job titles</w:t>
            </w:r>
            <w:r w:rsidRPr="00BA0501">
              <w:rPr>
                <w:sz w:val="22"/>
                <w:szCs w:val="22"/>
              </w:rPr>
              <w:t>/</w:t>
            </w:r>
            <w:r w:rsidR="00C81052" w:rsidRPr="00BA0501">
              <w:rPr>
                <w:sz w:val="22"/>
                <w:szCs w:val="22"/>
              </w:rPr>
              <w:t xml:space="preserve"> codes</w:t>
            </w:r>
            <w:r w:rsidRPr="00BA0501">
              <w:rPr>
                <w:sz w:val="22"/>
                <w:szCs w:val="22"/>
              </w:rPr>
              <w:t>/</w:t>
            </w:r>
            <w:r w:rsidR="00C81052" w:rsidRPr="00BA0501">
              <w:rPr>
                <w:sz w:val="22"/>
                <w:szCs w:val="22"/>
              </w:rPr>
              <w:t xml:space="preserve"> descriptions, </w:t>
            </w:r>
            <w:r w:rsidRPr="00BA0501">
              <w:rPr>
                <w:sz w:val="22"/>
                <w:szCs w:val="22"/>
              </w:rPr>
              <w:t>and consequently, may require c</w:t>
            </w:r>
            <w:r>
              <w:rPr>
                <w:sz w:val="22"/>
                <w:szCs w:val="22"/>
              </w:rPr>
              <w:t>loser</w:t>
            </w:r>
            <w:r w:rsidRPr="00BA0501">
              <w:rPr>
                <w:sz w:val="22"/>
                <w:szCs w:val="22"/>
              </w:rPr>
              <w:t xml:space="preserve"> review when developing the DA cost pools. </w:t>
            </w:r>
          </w:p>
          <w:p w14:paraId="00E9148F" w14:textId="10C91464" w:rsidR="00C81052" w:rsidRDefault="00C81052" w:rsidP="004C28F6">
            <w:pPr>
              <w:pStyle w:val="ListParagraph"/>
              <w:numPr>
                <w:ilvl w:val="0"/>
                <w:numId w:val="36"/>
              </w:numPr>
              <w:autoSpaceDE w:val="0"/>
              <w:autoSpaceDN w:val="0"/>
              <w:adjustRightInd w:val="0"/>
              <w:jc w:val="both"/>
              <w:rPr>
                <w:sz w:val="22"/>
                <w:szCs w:val="22"/>
              </w:rPr>
            </w:pPr>
            <w:r w:rsidRPr="00BA0501">
              <w:rPr>
                <w:sz w:val="22"/>
                <w:szCs w:val="22"/>
              </w:rPr>
              <w:t>Institutions not significantly over the administrative</w:t>
            </w:r>
            <w:r>
              <w:rPr>
                <w:sz w:val="22"/>
                <w:szCs w:val="22"/>
              </w:rPr>
              <w:t xml:space="preserve"> cap </w:t>
            </w:r>
            <w:r w:rsidR="00BA0501">
              <w:rPr>
                <w:sz w:val="22"/>
                <w:szCs w:val="22"/>
              </w:rPr>
              <w:t xml:space="preserve">should </w:t>
            </w:r>
            <w:r>
              <w:rPr>
                <w:sz w:val="22"/>
                <w:szCs w:val="22"/>
              </w:rPr>
              <w:t>analyze the effect this has on their DA calculation.</w:t>
            </w:r>
          </w:p>
          <w:p w14:paraId="30A86C3F" w14:textId="77777777" w:rsidR="00743D57" w:rsidRPr="00CE498D" w:rsidRDefault="00743D57" w:rsidP="00C81052">
            <w:pPr>
              <w:pStyle w:val="TableContents"/>
              <w:jc w:val="both"/>
              <w:rPr>
                <w:rFonts w:asciiTheme="minorHAnsi" w:hAnsiTheme="minorHAnsi"/>
                <w:sz w:val="22"/>
                <w:szCs w:val="22"/>
              </w:rPr>
            </w:pPr>
          </w:p>
        </w:tc>
      </w:tr>
      <w:tr w:rsidR="00743D57" w:rsidRPr="004A46A7" w14:paraId="0A5E7FA8" w14:textId="77777777" w:rsidTr="00C81052">
        <w:trPr>
          <w:trHeight w:val="432"/>
        </w:trPr>
        <w:tc>
          <w:tcPr>
            <w:tcW w:w="518" w:type="dxa"/>
          </w:tcPr>
          <w:p w14:paraId="5CBE52B6" w14:textId="6ADEDF17" w:rsidR="00743D57" w:rsidRPr="009F48BA" w:rsidRDefault="00743D57" w:rsidP="00597F76">
            <w:pPr>
              <w:pStyle w:val="TableContents"/>
              <w:jc w:val="center"/>
              <w:rPr>
                <w:rFonts w:asciiTheme="minorHAnsi" w:hAnsiTheme="minorHAnsi"/>
                <w:b/>
                <w:bCs/>
                <w:sz w:val="22"/>
                <w:szCs w:val="22"/>
              </w:rPr>
            </w:pPr>
            <w:r>
              <w:rPr>
                <w:rFonts w:asciiTheme="minorHAnsi" w:hAnsiTheme="minorHAnsi"/>
                <w:b/>
                <w:bCs/>
                <w:sz w:val="22"/>
                <w:szCs w:val="22"/>
              </w:rPr>
              <w:lastRenderedPageBreak/>
              <w:t>7.</w:t>
            </w:r>
          </w:p>
        </w:tc>
        <w:tc>
          <w:tcPr>
            <w:tcW w:w="1872" w:type="dxa"/>
          </w:tcPr>
          <w:p w14:paraId="0C78066F" w14:textId="77777777" w:rsidR="00743D57" w:rsidRDefault="00743D57" w:rsidP="00597F76">
            <w:pPr>
              <w:pStyle w:val="TableContents"/>
              <w:jc w:val="center"/>
              <w:rPr>
                <w:rFonts w:asciiTheme="minorHAnsi" w:eastAsia="Calibri" w:hAnsiTheme="minorHAnsi" w:cs="Calibri"/>
                <w:b/>
                <w:bCs/>
                <w:i/>
                <w:iCs/>
                <w:color w:val="000000"/>
                <w:sz w:val="22"/>
                <w:szCs w:val="22"/>
                <w:u w:color="000000"/>
              </w:rPr>
            </w:pPr>
            <w:r>
              <w:rPr>
                <w:rFonts w:asciiTheme="minorHAnsi" w:eastAsia="Calibri" w:hAnsiTheme="minorHAnsi" w:cs="Calibri"/>
                <w:b/>
                <w:bCs/>
                <w:i/>
                <w:iCs/>
                <w:color w:val="000000"/>
                <w:sz w:val="22"/>
                <w:szCs w:val="22"/>
                <w:u w:color="000000"/>
              </w:rPr>
              <w:t>Library expenses and other users</w:t>
            </w:r>
          </w:p>
          <w:p w14:paraId="739B7C87" w14:textId="77777777" w:rsidR="00743D57" w:rsidRPr="00CE498D" w:rsidRDefault="00743D57" w:rsidP="00597F76">
            <w:pPr>
              <w:pStyle w:val="TableContents"/>
              <w:jc w:val="center"/>
              <w:rPr>
                <w:rFonts w:asciiTheme="minorHAnsi" w:eastAsia="Calibri" w:hAnsiTheme="minorHAnsi" w:cs="Calibri"/>
                <w:b/>
                <w:bCs/>
                <w:i/>
                <w:iCs/>
                <w:color w:val="000000"/>
                <w:sz w:val="12"/>
                <w:szCs w:val="12"/>
                <w:u w:color="000000"/>
              </w:rPr>
            </w:pPr>
          </w:p>
          <w:p w14:paraId="2F054DB1" w14:textId="4DD17288" w:rsidR="00743D57" w:rsidRDefault="00743D57" w:rsidP="00597F76">
            <w:pPr>
              <w:pStyle w:val="TableContents"/>
              <w:jc w:val="center"/>
              <w:rPr>
                <w:rFonts w:asciiTheme="minorHAnsi" w:eastAsia="Calibri" w:hAnsiTheme="minorHAnsi" w:cs="Calibri"/>
                <w:b/>
                <w:bCs/>
                <w:sz w:val="22"/>
                <w:szCs w:val="22"/>
              </w:rPr>
            </w:pPr>
            <w:r w:rsidRPr="009F48BA">
              <w:rPr>
                <w:rFonts w:asciiTheme="minorHAnsi" w:eastAsia="Calibri" w:hAnsiTheme="minorHAnsi" w:cs="Calibri"/>
                <w:b/>
                <w:bCs/>
                <w:sz w:val="22"/>
                <w:szCs w:val="22"/>
              </w:rPr>
              <w:t xml:space="preserve"> </w:t>
            </w:r>
            <w:r>
              <w:rPr>
                <w:rFonts w:asciiTheme="minorHAnsi" w:eastAsia="Calibri" w:hAnsiTheme="minorHAnsi" w:cs="Calibri"/>
                <w:b/>
                <w:bCs/>
                <w:sz w:val="22"/>
                <w:szCs w:val="22"/>
              </w:rPr>
              <w:t>(Appendix III</w:t>
            </w:r>
            <w:r w:rsidRPr="009F48BA">
              <w:rPr>
                <w:rFonts w:asciiTheme="minorHAnsi" w:eastAsia="Calibri" w:hAnsiTheme="minorHAnsi" w:cs="Calibri"/>
                <w:b/>
                <w:bCs/>
                <w:sz w:val="22"/>
                <w:szCs w:val="22"/>
              </w:rPr>
              <w:t>)</w:t>
            </w:r>
          </w:p>
          <w:p w14:paraId="79824282" w14:textId="77777777" w:rsidR="00743D57" w:rsidRPr="009F48BA" w:rsidRDefault="00743D57" w:rsidP="00597F76">
            <w:pPr>
              <w:pStyle w:val="TableContents"/>
              <w:jc w:val="center"/>
              <w:rPr>
                <w:rFonts w:asciiTheme="minorHAnsi" w:eastAsia="Calibri" w:hAnsiTheme="minorHAnsi" w:cs="Calibri"/>
                <w:b/>
                <w:bCs/>
                <w:i/>
                <w:iCs/>
                <w:sz w:val="22"/>
                <w:szCs w:val="22"/>
              </w:rPr>
            </w:pPr>
          </w:p>
        </w:tc>
        <w:tc>
          <w:tcPr>
            <w:tcW w:w="12010" w:type="dxa"/>
          </w:tcPr>
          <w:p w14:paraId="153E72CF" w14:textId="5218C0BF" w:rsidR="00743D57" w:rsidRPr="00C81052" w:rsidRDefault="004E7AC0" w:rsidP="00C81052">
            <w:pPr>
              <w:pStyle w:val="TableContents"/>
              <w:jc w:val="both"/>
              <w:rPr>
                <w:rFonts w:asciiTheme="minorHAnsi" w:hAnsiTheme="minorHAnsi" w:cs="Arial"/>
                <w:sz w:val="22"/>
                <w:szCs w:val="22"/>
              </w:rPr>
            </w:pPr>
            <w:r>
              <w:rPr>
                <w:rFonts w:ascii="Calibri" w:eastAsia="Calibri" w:hAnsi="Calibri" w:cs="Calibri"/>
                <w:color w:val="000000"/>
                <w:sz w:val="22"/>
                <w:szCs w:val="22"/>
                <w:u w:color="000000"/>
              </w:rPr>
              <w:t xml:space="preserve">Appendix III, B.8.b </w:t>
            </w:r>
            <w:r w:rsidRPr="00C81052">
              <w:rPr>
                <w:rFonts w:asciiTheme="minorHAnsi" w:eastAsia="Calibri" w:hAnsiTheme="minorHAnsi" w:cs="Calibri"/>
                <w:color w:val="000000"/>
                <w:sz w:val="22"/>
                <w:szCs w:val="22"/>
                <w:u w:color="000000"/>
              </w:rPr>
              <w:t>states that in the first step of the library allocation, which is based on primary cate</w:t>
            </w:r>
            <w:r>
              <w:rPr>
                <w:rFonts w:asciiTheme="minorHAnsi" w:eastAsia="Calibri" w:hAnsiTheme="minorHAnsi" w:cs="Calibri"/>
                <w:color w:val="000000"/>
                <w:sz w:val="22"/>
                <w:szCs w:val="22"/>
                <w:u w:color="000000"/>
              </w:rPr>
              <w:t>gories of users, the other user</w:t>
            </w:r>
            <w:r w:rsidRPr="00C81052">
              <w:rPr>
                <w:rFonts w:asciiTheme="minorHAnsi" w:eastAsia="Calibri" w:hAnsiTheme="minorHAnsi" w:cs="Calibri"/>
                <w:color w:val="000000"/>
                <w:sz w:val="22"/>
                <w:szCs w:val="22"/>
                <w:u w:color="000000"/>
              </w:rPr>
              <w:t xml:space="preserve"> category must consist of </w:t>
            </w:r>
            <w:r w:rsidRPr="00C81052">
              <w:rPr>
                <w:rFonts w:asciiTheme="minorHAnsi" w:hAnsiTheme="minorHAnsi" w:cs="Arial"/>
                <w:sz w:val="22"/>
                <w:szCs w:val="22"/>
              </w:rPr>
              <w:t>a reasonable factor as determined by institutional records to account for all other users of library facilities.</w:t>
            </w:r>
          </w:p>
          <w:p w14:paraId="17C73329" w14:textId="77777777" w:rsidR="00743D57" w:rsidRPr="00C81052" w:rsidRDefault="00743D57" w:rsidP="00C81052">
            <w:pPr>
              <w:pStyle w:val="TableContents"/>
              <w:jc w:val="both"/>
              <w:rPr>
                <w:rFonts w:asciiTheme="minorHAnsi" w:hAnsiTheme="minorHAnsi" w:cs="Arial"/>
                <w:sz w:val="22"/>
                <w:szCs w:val="22"/>
              </w:rPr>
            </w:pPr>
          </w:p>
          <w:p w14:paraId="798205A1" w14:textId="0364F4AC" w:rsidR="00C81052" w:rsidRPr="00C81052" w:rsidRDefault="000457A9" w:rsidP="00C81052">
            <w:pPr>
              <w:pStyle w:val="Default"/>
              <w:jc w:val="both"/>
              <w:rPr>
                <w:rFonts w:asciiTheme="minorHAnsi" w:hAnsiTheme="minorHAnsi"/>
                <w:b/>
                <w: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C81052" w:rsidRPr="00C81052">
              <w:rPr>
                <w:rFonts w:asciiTheme="minorHAnsi" w:hAnsiTheme="minorHAnsi"/>
                <w:b/>
                <w:i/>
                <w:sz w:val="22"/>
                <w:szCs w:val="22"/>
              </w:rPr>
              <w:t>:</w:t>
            </w:r>
          </w:p>
          <w:p w14:paraId="0C1EEACD" w14:textId="77777777" w:rsidR="00C81052" w:rsidRPr="0035122B" w:rsidRDefault="00C81052" w:rsidP="00C81052">
            <w:pPr>
              <w:pStyle w:val="Default"/>
              <w:jc w:val="both"/>
              <w:rPr>
                <w:rFonts w:asciiTheme="minorHAnsi" w:hAnsiTheme="minorHAnsi"/>
                <w:sz w:val="12"/>
                <w:szCs w:val="12"/>
              </w:rPr>
            </w:pPr>
          </w:p>
          <w:p w14:paraId="192270F3" w14:textId="1FCC0F65" w:rsidR="00C81052" w:rsidRPr="00C81052" w:rsidRDefault="004E7AC0" w:rsidP="004C28F6">
            <w:pPr>
              <w:pStyle w:val="ListParagraph"/>
              <w:numPr>
                <w:ilvl w:val="0"/>
                <w:numId w:val="37"/>
              </w:numPr>
              <w:autoSpaceDE w:val="0"/>
              <w:autoSpaceDN w:val="0"/>
              <w:adjustRightInd w:val="0"/>
              <w:jc w:val="both"/>
              <w:rPr>
                <w:sz w:val="22"/>
                <w:szCs w:val="22"/>
              </w:rPr>
            </w:pPr>
            <w:r w:rsidRPr="00C81052">
              <w:rPr>
                <w:rFonts w:cs="Arial"/>
                <w:sz w:val="22"/>
                <w:szCs w:val="22"/>
              </w:rPr>
              <w:t>Research what institutional records exist or could be generated (e.g. on-line login logs, card access, sign-in statistics, use agreements</w:t>
            </w:r>
            <w:r>
              <w:rPr>
                <w:rFonts w:cs="Arial"/>
                <w:sz w:val="22"/>
                <w:szCs w:val="22"/>
              </w:rPr>
              <w:t>, etc.</w:t>
            </w:r>
            <w:r w:rsidRPr="00C81052">
              <w:rPr>
                <w:rFonts w:cs="Arial"/>
                <w:sz w:val="22"/>
                <w:szCs w:val="22"/>
              </w:rPr>
              <w:t>) to support the other users category</w:t>
            </w:r>
            <w:r w:rsidRPr="00C81052">
              <w:rPr>
                <w:sz w:val="22"/>
                <w:szCs w:val="22"/>
              </w:rPr>
              <w:t>.</w:t>
            </w:r>
          </w:p>
          <w:p w14:paraId="50027C11" w14:textId="2611E8BA" w:rsidR="00743D57" w:rsidRDefault="00743D57" w:rsidP="00C81052">
            <w:pPr>
              <w:pStyle w:val="TableContents"/>
              <w:jc w:val="both"/>
              <w:rPr>
                <w:rFonts w:ascii="Calibri" w:eastAsia="Calibri" w:hAnsi="Calibri" w:cs="Calibri"/>
                <w:color w:val="000000"/>
                <w:sz w:val="22"/>
                <w:szCs w:val="22"/>
                <w:u w:color="000000"/>
              </w:rPr>
            </w:pPr>
          </w:p>
        </w:tc>
      </w:tr>
      <w:tr w:rsidR="00743D57" w:rsidRPr="004A46A7" w14:paraId="03B8D6C8" w14:textId="77777777" w:rsidTr="00C81052">
        <w:trPr>
          <w:trHeight w:val="432"/>
        </w:trPr>
        <w:tc>
          <w:tcPr>
            <w:tcW w:w="518" w:type="dxa"/>
          </w:tcPr>
          <w:p w14:paraId="6653FD96" w14:textId="77777777" w:rsidR="00743D57" w:rsidRDefault="00743D57" w:rsidP="00597F76">
            <w:pPr>
              <w:pStyle w:val="TableContents"/>
              <w:jc w:val="center"/>
              <w:rPr>
                <w:rFonts w:asciiTheme="minorHAnsi" w:hAnsiTheme="minorHAnsi"/>
                <w:b/>
                <w:bCs/>
                <w:sz w:val="22"/>
                <w:szCs w:val="22"/>
              </w:rPr>
            </w:pPr>
            <w:r>
              <w:rPr>
                <w:rFonts w:asciiTheme="minorHAnsi" w:hAnsiTheme="minorHAnsi"/>
                <w:b/>
                <w:bCs/>
                <w:sz w:val="22"/>
                <w:szCs w:val="22"/>
              </w:rPr>
              <w:t>8.</w:t>
            </w:r>
          </w:p>
        </w:tc>
        <w:tc>
          <w:tcPr>
            <w:tcW w:w="1872" w:type="dxa"/>
          </w:tcPr>
          <w:p w14:paraId="3F344E1E" w14:textId="77777777" w:rsidR="00743D57" w:rsidRDefault="00743D57" w:rsidP="00597F76">
            <w:pPr>
              <w:pStyle w:val="TableContents"/>
              <w:jc w:val="center"/>
              <w:rPr>
                <w:rFonts w:asciiTheme="minorHAnsi" w:eastAsia="Calibri" w:hAnsiTheme="minorHAnsi" w:cs="Calibri"/>
                <w:b/>
                <w:bCs/>
                <w:i/>
                <w:iCs/>
                <w:color w:val="000000"/>
                <w:sz w:val="22"/>
                <w:szCs w:val="22"/>
                <w:u w:color="000000"/>
              </w:rPr>
            </w:pPr>
            <w:r>
              <w:rPr>
                <w:rFonts w:asciiTheme="minorHAnsi" w:eastAsia="Calibri" w:hAnsiTheme="minorHAnsi" w:cs="Calibri"/>
                <w:b/>
                <w:bCs/>
                <w:i/>
                <w:iCs/>
                <w:color w:val="000000"/>
                <w:sz w:val="22"/>
                <w:szCs w:val="22"/>
                <w:u w:color="000000"/>
              </w:rPr>
              <w:t>The distribution basis and MTDC exclusions</w:t>
            </w:r>
          </w:p>
          <w:p w14:paraId="54A59A95" w14:textId="77777777" w:rsidR="00743D57" w:rsidRPr="008E3D22" w:rsidRDefault="00743D57" w:rsidP="00597F76">
            <w:pPr>
              <w:pStyle w:val="TableContents"/>
              <w:jc w:val="center"/>
              <w:rPr>
                <w:rFonts w:asciiTheme="minorHAnsi" w:hAnsiTheme="minorHAnsi"/>
                <w:sz w:val="12"/>
                <w:szCs w:val="12"/>
              </w:rPr>
            </w:pPr>
          </w:p>
          <w:p w14:paraId="70281D1E" w14:textId="33EE5225" w:rsidR="00743D57" w:rsidRDefault="00743D57" w:rsidP="00597F76">
            <w:pPr>
              <w:pStyle w:val="TableContents"/>
              <w:jc w:val="center"/>
              <w:rPr>
                <w:rFonts w:asciiTheme="minorHAnsi" w:eastAsia="Calibri" w:hAnsiTheme="minorHAnsi" w:cs="Calibri"/>
                <w:b/>
                <w:bCs/>
                <w:sz w:val="22"/>
                <w:szCs w:val="22"/>
              </w:rPr>
            </w:pPr>
            <w:r>
              <w:rPr>
                <w:rFonts w:asciiTheme="minorHAnsi" w:hAnsiTheme="minorHAnsi"/>
                <w:b/>
                <w:bCs/>
                <w:sz w:val="22"/>
                <w:szCs w:val="22"/>
              </w:rPr>
              <w:t>(</w:t>
            </w:r>
            <w:r w:rsidRPr="009F48BA">
              <w:rPr>
                <w:rFonts w:asciiTheme="minorHAnsi" w:eastAsia="Calibri" w:hAnsiTheme="minorHAnsi" w:cs="Calibri"/>
                <w:b/>
                <w:bCs/>
                <w:sz w:val="22"/>
                <w:szCs w:val="22"/>
              </w:rPr>
              <w:t>App</w:t>
            </w:r>
            <w:r>
              <w:rPr>
                <w:rFonts w:asciiTheme="minorHAnsi" w:eastAsia="Calibri" w:hAnsiTheme="minorHAnsi" w:cs="Calibri"/>
                <w:b/>
                <w:bCs/>
                <w:sz w:val="22"/>
                <w:szCs w:val="22"/>
              </w:rPr>
              <w:t>endix</w:t>
            </w:r>
            <w:r w:rsidRPr="009F48BA">
              <w:rPr>
                <w:rFonts w:asciiTheme="minorHAnsi" w:eastAsia="Calibri" w:hAnsiTheme="minorHAnsi" w:cs="Calibri"/>
                <w:b/>
                <w:bCs/>
                <w:sz w:val="22"/>
                <w:szCs w:val="22"/>
              </w:rPr>
              <w:t xml:space="preserve"> </w:t>
            </w:r>
            <w:r>
              <w:rPr>
                <w:rFonts w:asciiTheme="minorHAnsi" w:eastAsia="Calibri" w:hAnsiTheme="minorHAnsi" w:cs="Calibri"/>
                <w:b/>
                <w:bCs/>
                <w:sz w:val="22"/>
                <w:szCs w:val="22"/>
              </w:rPr>
              <w:t>III</w:t>
            </w:r>
            <w:r w:rsidRPr="009F48BA">
              <w:rPr>
                <w:rFonts w:asciiTheme="minorHAnsi" w:eastAsia="Calibri" w:hAnsiTheme="minorHAnsi" w:cs="Calibri"/>
                <w:b/>
                <w:bCs/>
                <w:sz w:val="22"/>
                <w:szCs w:val="22"/>
              </w:rPr>
              <w:t>)</w:t>
            </w:r>
          </w:p>
          <w:p w14:paraId="4DF203AE" w14:textId="77777777" w:rsidR="00743D57" w:rsidRDefault="00743D57" w:rsidP="00597F76">
            <w:pPr>
              <w:pStyle w:val="TableContents"/>
              <w:jc w:val="center"/>
              <w:rPr>
                <w:rFonts w:asciiTheme="minorHAnsi" w:eastAsia="Calibri" w:hAnsiTheme="minorHAnsi" w:cs="Calibri"/>
                <w:b/>
                <w:bCs/>
                <w:i/>
                <w:iCs/>
                <w:color w:val="000000"/>
                <w:sz w:val="22"/>
                <w:szCs w:val="22"/>
                <w:u w:color="000000"/>
              </w:rPr>
            </w:pPr>
          </w:p>
        </w:tc>
        <w:tc>
          <w:tcPr>
            <w:tcW w:w="12010" w:type="dxa"/>
          </w:tcPr>
          <w:p w14:paraId="530B58DA" w14:textId="197D7408" w:rsidR="00C81052" w:rsidRDefault="00C81052" w:rsidP="006B3099">
            <w:pPr>
              <w:pStyle w:val="PlainText"/>
              <w:jc w:val="both"/>
              <w:rPr>
                <w:rFonts w:ascii="Calibri" w:eastAsia="Calibri" w:hAnsi="Calibri" w:cs="Calibri"/>
                <w:color w:val="000000"/>
                <w:sz w:val="22"/>
                <w:szCs w:val="22"/>
                <w:u w:color="000000"/>
              </w:rPr>
            </w:pPr>
            <w:r>
              <w:rPr>
                <w:rFonts w:asciiTheme="minorHAnsi" w:hAnsiTheme="minorHAnsi"/>
                <w:sz w:val="22"/>
                <w:szCs w:val="22"/>
              </w:rPr>
              <w:t>Appendix III, C.2 cross-</w:t>
            </w:r>
            <w:r w:rsidR="001A4799">
              <w:rPr>
                <w:rFonts w:asciiTheme="minorHAnsi" w:hAnsiTheme="minorHAnsi"/>
                <w:sz w:val="22"/>
                <w:szCs w:val="22"/>
              </w:rPr>
              <w:t>references</w:t>
            </w:r>
            <w:r>
              <w:rPr>
                <w:rFonts w:asciiTheme="minorHAnsi" w:hAnsiTheme="minorHAnsi"/>
                <w:sz w:val="22"/>
                <w:szCs w:val="22"/>
              </w:rPr>
              <w:t xml:space="preserve"> to the </w:t>
            </w:r>
            <w:r w:rsidR="00743D57">
              <w:rPr>
                <w:rFonts w:asciiTheme="minorHAnsi" w:hAnsiTheme="minorHAnsi"/>
                <w:sz w:val="22"/>
                <w:szCs w:val="22"/>
              </w:rPr>
              <w:t>definition of MTDC (</w:t>
            </w:r>
            <w:r w:rsidR="00743D57" w:rsidRPr="00AF212B">
              <w:rPr>
                <w:rFonts w:asciiTheme="minorHAnsi" w:hAnsiTheme="minorHAnsi"/>
                <w:sz w:val="22"/>
                <w:szCs w:val="22"/>
              </w:rPr>
              <w:t>Subpart A, 200.68</w:t>
            </w:r>
            <w:r w:rsidR="00743D57">
              <w:rPr>
                <w:rFonts w:asciiTheme="minorHAnsi" w:hAnsiTheme="minorHAnsi"/>
                <w:sz w:val="22"/>
                <w:szCs w:val="22"/>
              </w:rPr>
              <w:t>)</w:t>
            </w:r>
            <w:r>
              <w:rPr>
                <w:rFonts w:asciiTheme="minorHAnsi" w:hAnsiTheme="minorHAnsi"/>
                <w:sz w:val="22"/>
                <w:szCs w:val="22"/>
              </w:rPr>
              <w:t>. The definition</w:t>
            </w:r>
            <w:r w:rsidR="00743D57">
              <w:rPr>
                <w:rFonts w:asciiTheme="minorHAnsi" w:hAnsiTheme="minorHAnsi"/>
                <w:sz w:val="22"/>
                <w:szCs w:val="22"/>
              </w:rPr>
              <w:t xml:space="preserve"> now covers </w:t>
            </w:r>
            <w:r w:rsidR="00743D57" w:rsidRPr="00AF212B">
              <w:rPr>
                <w:rFonts w:asciiTheme="minorHAnsi" w:hAnsiTheme="minorHAnsi" w:cs="Courier"/>
                <w:sz w:val="22"/>
                <w:szCs w:val="22"/>
              </w:rPr>
              <w:t>participant support costs</w:t>
            </w:r>
            <w:r w:rsidR="00743D57">
              <w:rPr>
                <w:rFonts w:asciiTheme="minorHAnsi" w:hAnsiTheme="minorHAnsi" w:cs="Courier"/>
                <w:sz w:val="22"/>
                <w:szCs w:val="22"/>
              </w:rPr>
              <w:t xml:space="preserve"> as an MTDC exclusion (also see 200.75 and 200.456). The definition remains unchanged in regard to </w:t>
            </w:r>
            <w:r w:rsidR="00743D57" w:rsidRPr="00AF212B">
              <w:rPr>
                <w:rFonts w:asciiTheme="minorHAnsi" w:hAnsiTheme="minorHAnsi" w:cs="Courier"/>
                <w:sz w:val="22"/>
                <w:szCs w:val="22"/>
              </w:rPr>
              <w:t>the portion of each</w:t>
            </w:r>
            <w:r w:rsidR="00743D57">
              <w:rPr>
                <w:rFonts w:asciiTheme="minorHAnsi" w:hAnsiTheme="minorHAnsi" w:cs="Courier"/>
                <w:sz w:val="22"/>
                <w:szCs w:val="22"/>
              </w:rPr>
              <w:t xml:space="preserve"> </w:t>
            </w:r>
            <w:r w:rsidR="00743D57" w:rsidRPr="007E3D58">
              <w:rPr>
                <w:rFonts w:asciiTheme="minorHAnsi" w:hAnsiTheme="minorHAnsi" w:cs="Courier"/>
                <w:sz w:val="22"/>
                <w:szCs w:val="22"/>
              </w:rPr>
              <w:t>subaward and sub</w:t>
            </w:r>
            <w:r w:rsidR="00743D57">
              <w:rPr>
                <w:rFonts w:asciiTheme="minorHAnsi" w:hAnsiTheme="minorHAnsi" w:cs="Courier"/>
                <w:sz w:val="22"/>
                <w:szCs w:val="22"/>
              </w:rPr>
              <w:t>contract in excess of $25,000 as an MTDC exclusion</w:t>
            </w:r>
            <w:r w:rsidR="006B3099">
              <w:rPr>
                <w:rFonts w:asciiTheme="minorHAnsi" w:hAnsiTheme="minorHAnsi" w:cs="Courier"/>
                <w:sz w:val="22"/>
                <w:szCs w:val="22"/>
              </w:rPr>
              <w:t>.</w:t>
            </w:r>
          </w:p>
          <w:p w14:paraId="755C7F34" w14:textId="77777777" w:rsidR="00C81052" w:rsidRDefault="00C81052" w:rsidP="00C81052">
            <w:pPr>
              <w:pStyle w:val="TableContents"/>
              <w:jc w:val="both"/>
              <w:rPr>
                <w:rFonts w:ascii="Calibri" w:eastAsia="Calibri" w:hAnsi="Calibri" w:cs="Calibri"/>
                <w:color w:val="000000"/>
                <w:sz w:val="22"/>
                <w:szCs w:val="22"/>
                <w:u w:color="000000"/>
              </w:rPr>
            </w:pPr>
          </w:p>
          <w:p w14:paraId="3821AA38" w14:textId="6F29D9C6" w:rsidR="006B3099" w:rsidRPr="00C81052" w:rsidRDefault="000457A9" w:rsidP="006B3099">
            <w:pPr>
              <w:pStyle w:val="Default"/>
              <w:jc w:val="both"/>
              <w:rPr>
                <w:rFonts w:asciiTheme="minorHAnsi" w:hAnsiTheme="minorHAnsi"/>
                <w:b/>
                <w:i/>
                <w:sz w:val="22"/>
                <w:szCs w:val="22"/>
              </w:rPr>
            </w:pPr>
            <w:r w:rsidRPr="00E258A1">
              <w:rPr>
                <w:rFonts w:asciiTheme="minorHAnsi" w:hAnsiTheme="minorHAnsi"/>
                <w:b/>
                <w:i/>
                <w:sz w:val="22"/>
                <w:szCs w:val="22"/>
              </w:rPr>
              <w:t xml:space="preserve">POINTS </w:t>
            </w:r>
            <w:r>
              <w:rPr>
                <w:rFonts w:asciiTheme="minorHAnsi" w:hAnsiTheme="minorHAnsi"/>
                <w:b/>
                <w:i/>
                <w:sz w:val="22"/>
                <w:szCs w:val="22"/>
              </w:rPr>
              <w:t xml:space="preserve">TO </w:t>
            </w:r>
            <w:r w:rsidRPr="00E258A1">
              <w:rPr>
                <w:rFonts w:asciiTheme="minorHAnsi" w:hAnsiTheme="minorHAnsi"/>
                <w:b/>
                <w:i/>
                <w:sz w:val="22"/>
                <w:szCs w:val="22"/>
              </w:rPr>
              <w:t>CONSIDER</w:t>
            </w:r>
            <w:r w:rsidR="006B3099" w:rsidRPr="00C81052">
              <w:rPr>
                <w:rFonts w:asciiTheme="minorHAnsi" w:hAnsiTheme="minorHAnsi"/>
                <w:b/>
                <w:i/>
                <w:sz w:val="22"/>
                <w:szCs w:val="22"/>
              </w:rPr>
              <w:t>:</w:t>
            </w:r>
          </w:p>
          <w:p w14:paraId="7E8C07F9" w14:textId="77777777" w:rsidR="006B3099" w:rsidRPr="0035122B" w:rsidRDefault="006B3099" w:rsidP="006B3099">
            <w:pPr>
              <w:pStyle w:val="Default"/>
              <w:jc w:val="both"/>
              <w:rPr>
                <w:rFonts w:asciiTheme="minorHAnsi" w:hAnsiTheme="minorHAnsi"/>
                <w:sz w:val="12"/>
                <w:szCs w:val="12"/>
              </w:rPr>
            </w:pPr>
          </w:p>
          <w:p w14:paraId="79EAAF98" w14:textId="77777777" w:rsidR="00C0218D" w:rsidRDefault="00C0218D" w:rsidP="00C0218D">
            <w:pPr>
              <w:pStyle w:val="ListParagraph"/>
              <w:numPr>
                <w:ilvl w:val="0"/>
                <w:numId w:val="45"/>
              </w:numPr>
              <w:autoSpaceDE w:val="0"/>
              <w:autoSpaceDN w:val="0"/>
              <w:adjustRightInd w:val="0"/>
              <w:jc w:val="both"/>
              <w:rPr>
                <w:rFonts w:ascii="Calibri" w:hAnsi="Calibri"/>
                <w:sz w:val="22"/>
                <w:szCs w:val="22"/>
              </w:rPr>
            </w:pPr>
            <w:r>
              <w:rPr>
                <w:rFonts w:ascii="Calibri" w:eastAsia="Calibri" w:hAnsi="Calibri" w:cs="Calibri"/>
                <w:color w:val="000000"/>
                <w:sz w:val="22"/>
                <w:szCs w:val="22"/>
                <w:u w:color="000000"/>
              </w:rPr>
              <w:t xml:space="preserve">Review UG and agency </w:t>
            </w:r>
            <w:r w:rsidRPr="006B3099">
              <w:rPr>
                <w:rFonts w:ascii="Calibri" w:eastAsia="Calibri" w:hAnsi="Calibri" w:cs="Calibri"/>
                <w:sz w:val="22"/>
                <w:szCs w:val="22"/>
                <w:u w:color="000000"/>
              </w:rPr>
              <w:t>definitions of participant support costs and compare to institutional definitions and policy</w:t>
            </w:r>
            <w:r w:rsidRPr="006B3099">
              <w:rPr>
                <w:rFonts w:ascii="Calibri" w:hAnsi="Calibri"/>
                <w:sz w:val="22"/>
                <w:szCs w:val="22"/>
              </w:rPr>
              <w:t>.</w:t>
            </w:r>
          </w:p>
          <w:p w14:paraId="3B5F63B6" w14:textId="7E566EE2" w:rsidR="00C0218D" w:rsidRPr="002641E2" w:rsidRDefault="00C0218D" w:rsidP="00C0218D">
            <w:pPr>
              <w:pStyle w:val="ListParagraph"/>
              <w:numPr>
                <w:ilvl w:val="0"/>
                <w:numId w:val="45"/>
              </w:numPr>
              <w:autoSpaceDE w:val="0"/>
              <w:autoSpaceDN w:val="0"/>
              <w:adjustRightInd w:val="0"/>
              <w:jc w:val="both"/>
              <w:rPr>
                <w:rFonts w:ascii="Calibri" w:hAnsi="Calibri"/>
                <w:sz w:val="22"/>
                <w:szCs w:val="22"/>
              </w:rPr>
            </w:pPr>
            <w:r w:rsidRPr="00744180">
              <w:rPr>
                <w:sz w:val="22"/>
                <w:szCs w:val="22"/>
              </w:rPr>
              <w:t>Consider system</w:t>
            </w:r>
            <w:r>
              <w:rPr>
                <w:sz w:val="22"/>
                <w:szCs w:val="22"/>
              </w:rPr>
              <w:t>/accounting</w:t>
            </w:r>
            <w:r w:rsidRPr="00744180">
              <w:rPr>
                <w:sz w:val="22"/>
                <w:szCs w:val="22"/>
              </w:rPr>
              <w:t xml:space="preserve"> changes to </w:t>
            </w:r>
            <w:r>
              <w:rPr>
                <w:sz w:val="22"/>
                <w:szCs w:val="22"/>
              </w:rPr>
              <w:t xml:space="preserve">identify and </w:t>
            </w:r>
            <w:r w:rsidRPr="00744180">
              <w:rPr>
                <w:sz w:val="22"/>
                <w:szCs w:val="22"/>
              </w:rPr>
              <w:t>account for participant support costs</w:t>
            </w:r>
            <w:r>
              <w:rPr>
                <w:sz w:val="22"/>
                <w:szCs w:val="22"/>
              </w:rPr>
              <w:t xml:space="preserve"> that will allow for correct treatment in defining MTDC for F&amp;A rate development purposes.</w:t>
            </w:r>
          </w:p>
          <w:p w14:paraId="558122F2" w14:textId="77777777" w:rsidR="00C0218D" w:rsidRPr="006B3099" w:rsidRDefault="00C0218D" w:rsidP="00C0218D">
            <w:pPr>
              <w:pStyle w:val="ListParagraph"/>
              <w:numPr>
                <w:ilvl w:val="0"/>
                <w:numId w:val="45"/>
              </w:numPr>
              <w:autoSpaceDE w:val="0"/>
              <w:autoSpaceDN w:val="0"/>
              <w:adjustRightInd w:val="0"/>
              <w:jc w:val="both"/>
              <w:rPr>
                <w:rFonts w:ascii="Calibri" w:hAnsi="Calibri"/>
                <w:sz w:val="22"/>
                <w:szCs w:val="22"/>
              </w:rPr>
            </w:pPr>
            <w:r>
              <w:rPr>
                <w:sz w:val="22"/>
                <w:szCs w:val="22"/>
              </w:rPr>
              <w:t xml:space="preserve">Train appropriate staff (e.g., those </w:t>
            </w:r>
            <w:r w:rsidRPr="00744180">
              <w:rPr>
                <w:sz w:val="22"/>
                <w:szCs w:val="22"/>
              </w:rPr>
              <w:t>preparing budgets for sponsored project proposals</w:t>
            </w:r>
            <w:r>
              <w:rPr>
                <w:sz w:val="22"/>
                <w:szCs w:val="22"/>
              </w:rPr>
              <w:t>)</w:t>
            </w:r>
            <w:r w:rsidRPr="00744180">
              <w:rPr>
                <w:sz w:val="22"/>
                <w:szCs w:val="22"/>
              </w:rPr>
              <w:t xml:space="preserve"> </w:t>
            </w:r>
            <w:r>
              <w:rPr>
                <w:sz w:val="22"/>
                <w:szCs w:val="22"/>
              </w:rPr>
              <w:t>so that F&amp;A</w:t>
            </w:r>
            <w:r w:rsidRPr="00744180">
              <w:rPr>
                <w:sz w:val="22"/>
                <w:szCs w:val="22"/>
              </w:rPr>
              <w:t xml:space="preserve"> </w:t>
            </w:r>
            <w:r>
              <w:rPr>
                <w:sz w:val="22"/>
                <w:szCs w:val="22"/>
              </w:rPr>
              <w:t xml:space="preserve">is not </w:t>
            </w:r>
            <w:r w:rsidRPr="00744180">
              <w:rPr>
                <w:sz w:val="22"/>
                <w:szCs w:val="22"/>
              </w:rPr>
              <w:t>applied to participant support costs</w:t>
            </w:r>
            <w:r>
              <w:rPr>
                <w:sz w:val="22"/>
                <w:szCs w:val="22"/>
              </w:rPr>
              <w:t>.</w:t>
            </w:r>
          </w:p>
          <w:p w14:paraId="04816B54" w14:textId="43384392" w:rsidR="006B3099" w:rsidRPr="006B3099" w:rsidRDefault="006B3099" w:rsidP="00C0218D">
            <w:pPr>
              <w:pStyle w:val="ListParagraph"/>
              <w:numPr>
                <w:ilvl w:val="0"/>
                <w:numId w:val="45"/>
              </w:numPr>
              <w:autoSpaceDE w:val="0"/>
              <w:autoSpaceDN w:val="0"/>
              <w:adjustRightInd w:val="0"/>
              <w:jc w:val="both"/>
              <w:rPr>
                <w:rFonts w:ascii="Calibri" w:hAnsi="Calibri"/>
                <w:sz w:val="22"/>
                <w:szCs w:val="22"/>
              </w:rPr>
            </w:pPr>
            <w:r w:rsidRPr="006B3099">
              <w:rPr>
                <w:rFonts w:ascii="Calibri" w:hAnsi="Calibri"/>
                <w:sz w:val="22"/>
                <w:szCs w:val="22"/>
              </w:rPr>
              <w:t xml:space="preserve">Some agencies maintain that a vendor contract greater than $25,000 is a subcontract subject to the MTDC exclusion. Pay close attention to </w:t>
            </w:r>
            <w:r w:rsidR="001A4799" w:rsidRPr="006B3099">
              <w:rPr>
                <w:rFonts w:ascii="Calibri" w:hAnsi="Calibri"/>
                <w:sz w:val="22"/>
                <w:szCs w:val="22"/>
              </w:rPr>
              <w:t>technical</w:t>
            </w:r>
            <w:r w:rsidRPr="006B3099">
              <w:rPr>
                <w:rFonts w:ascii="Calibri" w:hAnsi="Calibri"/>
                <w:sz w:val="22"/>
                <w:szCs w:val="22"/>
              </w:rPr>
              <w:t xml:space="preserve"> </w:t>
            </w:r>
            <w:r w:rsidR="001A4799" w:rsidRPr="006B3099">
              <w:rPr>
                <w:rFonts w:ascii="Calibri" w:hAnsi="Calibri"/>
                <w:sz w:val="22"/>
                <w:szCs w:val="22"/>
              </w:rPr>
              <w:t>correction</w:t>
            </w:r>
            <w:r w:rsidRPr="006B3099">
              <w:rPr>
                <w:rFonts w:ascii="Calibri" w:hAnsi="Calibri"/>
                <w:sz w:val="22"/>
                <w:szCs w:val="22"/>
              </w:rPr>
              <w:t xml:space="preserve"> in the UG that may eliminate the term “subcontract” from the definition, which would clarify that the MTDC exclusion is applicable to subawards &gt; $25,000 only.</w:t>
            </w:r>
          </w:p>
          <w:p w14:paraId="59AE0313" w14:textId="77777777" w:rsidR="00743D57" w:rsidRPr="00CE498D" w:rsidRDefault="00743D57" w:rsidP="00C81052">
            <w:pPr>
              <w:pStyle w:val="PlainText"/>
              <w:jc w:val="both"/>
              <w:rPr>
                <w:rFonts w:asciiTheme="minorHAnsi" w:hAnsiTheme="minorHAnsi" w:cs="Courier"/>
                <w:b/>
                <w:sz w:val="22"/>
                <w:szCs w:val="22"/>
              </w:rPr>
            </w:pPr>
          </w:p>
        </w:tc>
      </w:tr>
    </w:tbl>
    <w:p w14:paraId="78CFF6A0" w14:textId="6A5A4023" w:rsidR="00743D57" w:rsidRDefault="00743D57" w:rsidP="003D72D8">
      <w:pPr>
        <w:pStyle w:val="PlainText"/>
        <w:jc w:val="both"/>
        <w:rPr>
          <w:rFonts w:asciiTheme="minorHAnsi" w:hAnsiTheme="minorHAnsi" w:cs="Times New Roman"/>
          <w:sz w:val="22"/>
          <w:szCs w:val="22"/>
        </w:rPr>
      </w:pPr>
    </w:p>
    <w:sectPr w:rsidR="00743D57" w:rsidSect="00FD47CF">
      <w:headerReference w:type="default" r:id="rId12"/>
      <w:footerReference w:type="default" r:id="rId13"/>
      <w:headerReference w:type="first" r:id="rId14"/>
      <w:footerReference w:type="first" r:id="rId15"/>
      <w:pgSz w:w="15840" w:h="12240" w:orient="landscape" w:code="1"/>
      <w:pgMar w:top="1152" w:right="864" w:bottom="1152" w:left="864" w:header="144" w:footer="14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50D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6547D" w14:textId="77777777" w:rsidR="001E6E16" w:rsidRDefault="001E6E16" w:rsidP="009B7D4B">
      <w:r>
        <w:separator/>
      </w:r>
    </w:p>
  </w:endnote>
  <w:endnote w:type="continuationSeparator" w:id="0">
    <w:p w14:paraId="1F2E9BEE" w14:textId="77777777" w:rsidR="001E6E16" w:rsidRDefault="001E6E16" w:rsidP="009B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MS">
    <w:altName w:val="Trebuchet MS"/>
    <w:charset w:val="00"/>
    <w:family w:val="swiss"/>
    <w:pitch w:val="default"/>
  </w:font>
  <w:font w:name="Georgia">
    <w:panose1 w:val="02040502050405020303"/>
    <w:charset w:val="00"/>
    <w:family w:val="roman"/>
    <w:pitch w:val="variable"/>
    <w:sig w:usb0="00000287" w:usb1="00000000" w:usb2="00000000" w:usb3="00000000" w:csb0="0000009F" w:csb1="00000000"/>
  </w:font>
  <w:font w:name="TT15Ct00">
    <w:panose1 w:val="00000000000000000000"/>
    <w:charset w:val="00"/>
    <w:family w:val="auto"/>
    <w:notTrueType/>
    <w:pitch w:val="default"/>
    <w:sig w:usb0="00000003" w:usb1="00000000" w:usb2="00000000" w:usb3="00000000" w:csb0="00000001"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22"/>
        <w:szCs w:val="22"/>
      </w:rPr>
      <w:id w:val="-1678190957"/>
      <w:docPartObj>
        <w:docPartGallery w:val="Page Numbers (Bottom of Page)"/>
        <w:docPartUnique/>
      </w:docPartObj>
    </w:sdtPr>
    <w:sdtEndPr/>
    <w:sdtContent>
      <w:p w14:paraId="42B7B679" w14:textId="77777777" w:rsidR="00E55291" w:rsidRPr="00E15ACB" w:rsidRDefault="00E55291">
        <w:pPr>
          <w:pStyle w:val="Footer"/>
          <w:pBdr>
            <w:bottom w:val="single" w:sz="6" w:space="1" w:color="auto"/>
          </w:pBdr>
          <w:jc w:val="center"/>
          <w:rPr>
            <w:b w:val="0"/>
            <w:sz w:val="22"/>
            <w:szCs w:val="22"/>
          </w:rPr>
        </w:pPr>
      </w:p>
      <w:p w14:paraId="1CE01E72" w14:textId="77777777" w:rsidR="00E55291" w:rsidRPr="00E15ACB" w:rsidRDefault="00E55291">
        <w:pPr>
          <w:pStyle w:val="Footer"/>
          <w:jc w:val="center"/>
          <w:rPr>
            <w:b w:val="0"/>
            <w:sz w:val="16"/>
            <w:szCs w:val="16"/>
          </w:rPr>
        </w:pPr>
      </w:p>
      <w:p w14:paraId="5CFCB0C3" w14:textId="77777777" w:rsidR="00E55291" w:rsidRPr="00E15ACB" w:rsidRDefault="00E55291">
        <w:pPr>
          <w:pStyle w:val="Footer"/>
          <w:jc w:val="center"/>
          <w:rPr>
            <w:b w:val="0"/>
            <w:sz w:val="22"/>
            <w:szCs w:val="22"/>
          </w:rPr>
        </w:pPr>
        <w:r w:rsidRPr="00E15ACB">
          <w:rPr>
            <w:b w:val="0"/>
            <w:sz w:val="22"/>
            <w:szCs w:val="22"/>
          </w:rPr>
          <w:fldChar w:fldCharType="begin"/>
        </w:r>
        <w:r w:rsidRPr="00E15ACB">
          <w:rPr>
            <w:b w:val="0"/>
            <w:sz w:val="22"/>
            <w:szCs w:val="22"/>
          </w:rPr>
          <w:instrText xml:space="preserve"> PAGE   \* MERGEFORMAT </w:instrText>
        </w:r>
        <w:r w:rsidRPr="00E15ACB">
          <w:rPr>
            <w:b w:val="0"/>
            <w:sz w:val="22"/>
            <w:szCs w:val="22"/>
          </w:rPr>
          <w:fldChar w:fldCharType="separate"/>
        </w:r>
        <w:r w:rsidR="00C106D5">
          <w:rPr>
            <w:b w:val="0"/>
            <w:noProof/>
            <w:sz w:val="22"/>
            <w:szCs w:val="22"/>
          </w:rPr>
          <w:t>2</w:t>
        </w:r>
        <w:r w:rsidRPr="00E15ACB">
          <w:rPr>
            <w:b w:val="0"/>
            <w:noProof/>
            <w:sz w:val="22"/>
            <w:szCs w:val="22"/>
          </w:rPr>
          <w:fldChar w:fldCharType="end"/>
        </w:r>
      </w:p>
    </w:sdtContent>
  </w:sdt>
  <w:p w14:paraId="65160F44" w14:textId="77777777" w:rsidR="00E55291" w:rsidRPr="004B69CA" w:rsidRDefault="00E55291">
    <w:pPr>
      <w:pStyle w:val="Footer"/>
      <w:rPr>
        <w:b w:val="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22"/>
        <w:szCs w:val="22"/>
      </w:rPr>
      <w:id w:val="542647583"/>
      <w:docPartObj>
        <w:docPartGallery w:val="Page Numbers (Bottom of Page)"/>
        <w:docPartUnique/>
      </w:docPartObj>
    </w:sdtPr>
    <w:sdtEndPr/>
    <w:sdtContent>
      <w:p w14:paraId="31F6AC9F" w14:textId="77777777" w:rsidR="00E55291" w:rsidRPr="00E15ACB" w:rsidRDefault="00E55291" w:rsidP="00E15ACB">
        <w:pPr>
          <w:pStyle w:val="Footer"/>
          <w:pBdr>
            <w:bottom w:val="single" w:sz="6" w:space="1" w:color="auto"/>
          </w:pBdr>
          <w:jc w:val="center"/>
          <w:rPr>
            <w:b w:val="0"/>
            <w:sz w:val="22"/>
            <w:szCs w:val="22"/>
          </w:rPr>
        </w:pPr>
      </w:p>
      <w:p w14:paraId="5F491FDC" w14:textId="77777777" w:rsidR="00E55291" w:rsidRPr="00E15ACB" w:rsidRDefault="00E55291" w:rsidP="00E15ACB">
        <w:pPr>
          <w:pStyle w:val="Footer"/>
          <w:jc w:val="center"/>
          <w:rPr>
            <w:b w:val="0"/>
            <w:sz w:val="16"/>
            <w:szCs w:val="16"/>
          </w:rPr>
        </w:pPr>
      </w:p>
      <w:p w14:paraId="13582912" w14:textId="77777777" w:rsidR="00E55291" w:rsidRPr="00E15ACB" w:rsidRDefault="00E55291" w:rsidP="00E15ACB">
        <w:pPr>
          <w:pStyle w:val="Footer"/>
          <w:jc w:val="center"/>
          <w:rPr>
            <w:b w:val="0"/>
            <w:sz w:val="22"/>
            <w:szCs w:val="22"/>
          </w:rPr>
        </w:pPr>
        <w:r w:rsidRPr="00E15ACB">
          <w:rPr>
            <w:b w:val="0"/>
            <w:sz w:val="22"/>
            <w:szCs w:val="22"/>
          </w:rPr>
          <w:fldChar w:fldCharType="begin"/>
        </w:r>
        <w:r w:rsidRPr="00E15ACB">
          <w:rPr>
            <w:b w:val="0"/>
            <w:sz w:val="22"/>
            <w:szCs w:val="22"/>
          </w:rPr>
          <w:instrText xml:space="preserve"> PAGE   \* MERGEFORMAT </w:instrText>
        </w:r>
        <w:r w:rsidRPr="00E15ACB">
          <w:rPr>
            <w:b w:val="0"/>
            <w:sz w:val="22"/>
            <w:szCs w:val="22"/>
          </w:rPr>
          <w:fldChar w:fldCharType="separate"/>
        </w:r>
        <w:r w:rsidR="00C106D5">
          <w:rPr>
            <w:b w:val="0"/>
            <w:noProof/>
            <w:sz w:val="22"/>
            <w:szCs w:val="22"/>
          </w:rPr>
          <w:t>1</w:t>
        </w:r>
        <w:r w:rsidRPr="00E15ACB">
          <w:rPr>
            <w:b w:val="0"/>
            <w:noProof/>
            <w:sz w:val="22"/>
            <w:szCs w:val="22"/>
          </w:rPr>
          <w:fldChar w:fldCharType="end"/>
        </w:r>
      </w:p>
    </w:sdtContent>
  </w:sdt>
  <w:p w14:paraId="382C4B77" w14:textId="77777777" w:rsidR="00E55291" w:rsidRPr="00E15ACB" w:rsidRDefault="00E55291" w:rsidP="00E1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E37B7" w14:textId="77777777" w:rsidR="001E6E16" w:rsidRDefault="001E6E16" w:rsidP="009B7D4B">
      <w:r>
        <w:separator/>
      </w:r>
    </w:p>
  </w:footnote>
  <w:footnote w:type="continuationSeparator" w:id="0">
    <w:p w14:paraId="65AC88A4" w14:textId="77777777" w:rsidR="001E6E16" w:rsidRDefault="001E6E16" w:rsidP="009B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0673" w14:textId="77777777" w:rsidR="00E55291" w:rsidRDefault="00E55291" w:rsidP="00E15ACB">
    <w:pPr>
      <w:pStyle w:val="NoSpacing"/>
      <w:jc w:val="center"/>
      <w:rPr>
        <w:rFonts w:ascii="Times New Roman" w:hAnsi="Times New Roman" w:cs="Times New Roman"/>
        <w:b/>
        <w:sz w:val="24"/>
        <w:szCs w:val="24"/>
      </w:rPr>
    </w:pPr>
  </w:p>
  <w:p w14:paraId="20173DB3" w14:textId="77777777" w:rsidR="00E55291" w:rsidRDefault="00E55291" w:rsidP="00E15ACB">
    <w:pPr>
      <w:pStyle w:val="NoSpacing"/>
      <w:jc w:val="center"/>
      <w:rPr>
        <w:rFonts w:ascii="Times New Roman" w:hAnsi="Times New Roman" w:cs="Times New Roman"/>
        <w:b/>
        <w:sz w:val="24"/>
        <w:szCs w:val="24"/>
      </w:rPr>
    </w:pPr>
  </w:p>
  <w:p w14:paraId="36A6C04A" w14:textId="77777777" w:rsidR="00E55291" w:rsidRDefault="00E55291" w:rsidP="00E15ACB">
    <w:pPr>
      <w:pStyle w:val="NoSpacing"/>
      <w:jc w:val="center"/>
      <w:rPr>
        <w:rFonts w:ascii="Times New Roman" w:hAnsi="Times New Roman" w:cs="Times New Roman"/>
        <w:b/>
        <w:sz w:val="24"/>
        <w:szCs w:val="24"/>
      </w:rPr>
    </w:pPr>
  </w:p>
  <w:p w14:paraId="362B9C91" w14:textId="71332E1E" w:rsidR="00E55291" w:rsidRPr="00BC7A0B" w:rsidRDefault="00E55291" w:rsidP="00E15ACB">
    <w:pPr>
      <w:pStyle w:val="NoSpacing"/>
      <w:pBdr>
        <w:bottom w:val="single" w:sz="6" w:space="1" w:color="auto"/>
      </w:pBdr>
      <w:jc w:val="both"/>
      <w:rPr>
        <w:rFonts w:ascii="Times New Roman" w:hAnsi="Times New Roman" w:cs="Times New Roman"/>
      </w:rPr>
    </w:pPr>
    <w:r>
      <w:rPr>
        <w:rFonts w:ascii="Times New Roman" w:hAnsi="Times New Roman" w:cs="Times New Roman"/>
      </w:rPr>
      <w:t>COGR: Implementation and Readiness Guide for the OMB Uniform Guidance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December 12</w:t>
    </w:r>
    <w:r w:rsidRPr="00BC7A0B">
      <w:rPr>
        <w:rFonts w:ascii="Times New Roman" w:hAnsi="Times New Roman" w:cs="Times New Roman"/>
      </w:rPr>
      <w:t>, 2014</w:t>
    </w:r>
  </w:p>
  <w:p w14:paraId="42223DAB" w14:textId="77777777" w:rsidR="00E55291" w:rsidRPr="00E15ACB" w:rsidRDefault="00E55291" w:rsidP="00E15ACB">
    <w:pPr>
      <w:pStyle w:val="NoSpacing"/>
      <w:pBdr>
        <w:bottom w:val="single" w:sz="6" w:space="1" w:color="auto"/>
      </w:pBdr>
      <w:jc w:val="center"/>
      <w:rPr>
        <w:rFonts w:ascii="Times New Roman" w:hAnsi="Times New Roman" w:cs="Times New Roman"/>
        <w:i/>
        <w:sz w:val="16"/>
        <w:szCs w:val="16"/>
      </w:rPr>
    </w:pPr>
  </w:p>
  <w:p w14:paraId="36A49E8A" w14:textId="77777777" w:rsidR="00E55291" w:rsidRPr="00E15ACB" w:rsidRDefault="00E55291" w:rsidP="00E15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9B20" w14:textId="77777777" w:rsidR="00E55291" w:rsidRDefault="00E55291" w:rsidP="00E15ACB">
    <w:pPr>
      <w:pStyle w:val="NoSpacing"/>
      <w:jc w:val="center"/>
      <w:rPr>
        <w:rFonts w:ascii="Times New Roman" w:hAnsi="Times New Roman" w:cs="Times New Roman"/>
        <w:b/>
        <w:sz w:val="24"/>
        <w:szCs w:val="24"/>
      </w:rPr>
    </w:pPr>
  </w:p>
  <w:p w14:paraId="0931DB11" w14:textId="77777777" w:rsidR="00E55291" w:rsidRDefault="00E55291" w:rsidP="00E15ACB">
    <w:pPr>
      <w:pStyle w:val="NoSpacing"/>
      <w:jc w:val="center"/>
      <w:rPr>
        <w:rFonts w:ascii="Times New Roman" w:hAnsi="Times New Roman" w:cs="Times New Roman"/>
        <w:b/>
        <w:sz w:val="24"/>
        <w:szCs w:val="24"/>
      </w:rPr>
    </w:pPr>
  </w:p>
  <w:p w14:paraId="58ADD6BE" w14:textId="10AA5B88" w:rsidR="00E55291" w:rsidRDefault="00E55291" w:rsidP="00F16946">
    <w:pPr>
      <w:pStyle w:val="NoSpacing"/>
      <w:jc w:val="center"/>
      <w:rPr>
        <w:rFonts w:ascii="Times New Roman" w:hAnsi="Times New Roman" w:cs="Times New Roman"/>
        <w:b/>
        <w:sz w:val="24"/>
        <w:szCs w:val="24"/>
      </w:rPr>
    </w:pPr>
    <w:r>
      <w:rPr>
        <w:rFonts w:ascii="Times New Roman" w:hAnsi="Times New Roman" w:cs="Times New Roman"/>
        <w:b/>
        <w:sz w:val="24"/>
        <w:szCs w:val="24"/>
      </w:rPr>
      <w:t>Implementation and Readiness Guide for the OMB Uniform Guidance</w:t>
    </w:r>
  </w:p>
  <w:p w14:paraId="20142060" w14:textId="16164BD7" w:rsidR="00E55291" w:rsidRPr="00F16946" w:rsidRDefault="00E55291" w:rsidP="00F16946">
    <w:pPr>
      <w:pStyle w:val="NoSpacing"/>
      <w:jc w:val="center"/>
      <w:rPr>
        <w:rFonts w:ascii="Times New Roman" w:hAnsi="Times New Roman" w:cs="Times New Roman"/>
        <w:b/>
        <w:sz w:val="24"/>
        <w:szCs w:val="24"/>
      </w:rPr>
    </w:pPr>
    <w:r>
      <w:rPr>
        <w:rFonts w:ascii="Times New Roman" w:hAnsi="Times New Roman" w:cs="Times New Roman"/>
        <w:b/>
        <w:sz w:val="24"/>
        <w:szCs w:val="24"/>
      </w:rPr>
      <w:t>Prepared by the Council on Governmental Relations (COGR)</w:t>
    </w:r>
  </w:p>
  <w:p w14:paraId="3F2AC530" w14:textId="77777777" w:rsidR="00E55291" w:rsidRPr="004A4998" w:rsidRDefault="00E55291" w:rsidP="00E15ACB">
    <w:pPr>
      <w:pStyle w:val="NoSpacing"/>
      <w:jc w:val="center"/>
      <w:rPr>
        <w:rFonts w:ascii="Times New Roman" w:hAnsi="Times New Roman" w:cs="Times New Roman"/>
        <w:b/>
        <w:sz w:val="16"/>
        <w:szCs w:val="16"/>
      </w:rPr>
    </w:pPr>
  </w:p>
  <w:p w14:paraId="66DB92C2" w14:textId="1BB97FE3" w:rsidR="00E55291" w:rsidRPr="00F16946" w:rsidRDefault="00E55291" w:rsidP="00E15ACB">
    <w:pPr>
      <w:pStyle w:val="NoSpacing"/>
      <w:pBdr>
        <w:bottom w:val="single" w:sz="12" w:space="1" w:color="auto"/>
      </w:pBdr>
      <w:jc w:val="center"/>
      <w:rPr>
        <w:rFonts w:ascii="Times New Roman" w:hAnsi="Times New Roman" w:cs="Times New Roman"/>
        <w:b/>
        <w:i/>
        <w:sz w:val="20"/>
        <w:szCs w:val="20"/>
      </w:rPr>
    </w:pPr>
    <w:r w:rsidRPr="00F16946">
      <w:rPr>
        <w:rFonts w:ascii="Times New Roman" w:hAnsi="Times New Roman" w:cs="Times New Roman"/>
        <w:b/>
        <w:i/>
        <w:sz w:val="20"/>
        <w:szCs w:val="20"/>
      </w:rPr>
      <w:t xml:space="preserve">DECEMBER </w:t>
    </w:r>
    <w:r>
      <w:rPr>
        <w:rFonts w:ascii="Times New Roman" w:hAnsi="Times New Roman" w:cs="Times New Roman"/>
        <w:b/>
        <w:i/>
        <w:sz w:val="20"/>
        <w:szCs w:val="20"/>
      </w:rPr>
      <w:t>12</w:t>
    </w:r>
    <w:r w:rsidRPr="00F16946">
      <w:rPr>
        <w:rFonts w:ascii="Times New Roman" w:hAnsi="Times New Roman" w:cs="Times New Roman"/>
        <w:b/>
        <w:i/>
        <w:sz w:val="20"/>
        <w:szCs w:val="20"/>
      </w:rPr>
      <w:t>, 2014</w:t>
    </w:r>
    <w:r>
      <w:rPr>
        <w:rFonts w:ascii="Times New Roman" w:hAnsi="Times New Roman" w:cs="Times New Roman"/>
        <w:b/>
        <w:i/>
        <w:sz w:val="20"/>
        <w:szCs w:val="20"/>
      </w:rPr>
      <w:t xml:space="preserve">  VERSION</w:t>
    </w:r>
  </w:p>
  <w:p w14:paraId="109A11E4" w14:textId="77777777" w:rsidR="00E55291" w:rsidRPr="00FD47CF" w:rsidRDefault="00E55291" w:rsidP="00E15ACB">
    <w:pPr>
      <w:pStyle w:val="NoSpacing"/>
      <w:pBdr>
        <w:bottom w:val="single" w:sz="12" w:space="1" w:color="auto"/>
      </w:pBdr>
      <w:jc w:val="center"/>
      <w:rPr>
        <w:rFonts w:ascii="Times New Roman" w:hAnsi="Times New Roman" w:cs="Times New Roman"/>
        <w:b/>
        <w:sz w:val="8"/>
        <w:szCs w:val="8"/>
      </w:rPr>
    </w:pPr>
  </w:p>
  <w:p w14:paraId="01AD2383" w14:textId="77777777" w:rsidR="00E55291" w:rsidRPr="00FD47CF" w:rsidRDefault="00E55291" w:rsidP="00E15ACB">
    <w:pPr>
      <w:pStyle w:val="NoSpacing"/>
      <w:pBdr>
        <w:bottom w:val="single" w:sz="12" w:space="1" w:color="auto"/>
      </w:pBdr>
      <w:jc w:val="center"/>
      <w:rPr>
        <w:rFonts w:ascii="Times New Roman" w:hAnsi="Times New Roman" w:cs="Times New Roman"/>
        <w:b/>
        <w:sz w:val="8"/>
        <w:szCs w:val="8"/>
      </w:rPr>
    </w:pPr>
  </w:p>
  <w:p w14:paraId="6A37F73C" w14:textId="77777777" w:rsidR="00E55291" w:rsidRPr="00FD47CF" w:rsidRDefault="00E55291" w:rsidP="00E15ACB">
    <w:pPr>
      <w:pStyle w:val="NoSpacing"/>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19A"/>
    <w:multiLevelType w:val="hybridMultilevel"/>
    <w:tmpl w:val="8938AA0E"/>
    <w:lvl w:ilvl="0" w:tplc="7D408706">
      <w:start w:val="1"/>
      <w:numFmt w:val="lowerLetter"/>
      <w:lvlText w:val="%1)"/>
      <w:lvlJc w:val="left"/>
      <w:pPr>
        <w:ind w:left="720" w:hanging="360"/>
      </w:pPr>
      <w:rPr>
        <w:rFonts w:asciiTheme="minorHAnsi" w:hAnsiTheme="minorHAns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4EF1"/>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37131"/>
    <w:multiLevelType w:val="hybridMultilevel"/>
    <w:tmpl w:val="835AAD82"/>
    <w:lvl w:ilvl="0" w:tplc="D7FC739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1AE5"/>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5185D"/>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605E"/>
    <w:multiLevelType w:val="hybridMultilevel"/>
    <w:tmpl w:val="ECD8C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E2268"/>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0329E"/>
    <w:multiLevelType w:val="hybridMultilevel"/>
    <w:tmpl w:val="008C5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041BB"/>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B3A23"/>
    <w:multiLevelType w:val="hybridMultilevel"/>
    <w:tmpl w:val="C9C62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914E7"/>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80FEA"/>
    <w:multiLevelType w:val="hybridMultilevel"/>
    <w:tmpl w:val="6EE24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51D30"/>
    <w:multiLevelType w:val="hybridMultilevel"/>
    <w:tmpl w:val="9FB2F5EE"/>
    <w:lvl w:ilvl="0" w:tplc="4D9CBF48">
      <w:start w:val="1"/>
      <w:numFmt w:val="lowerLetter"/>
      <w:lvlText w:val="%1)"/>
      <w:lvlJc w:val="left"/>
      <w:pPr>
        <w:ind w:left="720" w:hanging="360"/>
      </w:pPr>
      <w:rPr>
        <w:rFonts w:eastAsia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96E7C"/>
    <w:multiLevelType w:val="hybridMultilevel"/>
    <w:tmpl w:val="AFB2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2B1A13"/>
    <w:multiLevelType w:val="hybridMultilevel"/>
    <w:tmpl w:val="B9EE68A0"/>
    <w:lvl w:ilvl="0" w:tplc="E5F69E98">
      <w:start w:val="1"/>
      <w:numFmt w:val="lowerLetter"/>
      <w:lvlText w:val="%1)"/>
      <w:lvlJc w:val="left"/>
      <w:pPr>
        <w:ind w:left="720" w:hanging="36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1F441E"/>
    <w:multiLevelType w:val="hybridMultilevel"/>
    <w:tmpl w:val="6EE24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57084"/>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CC3EEC"/>
    <w:multiLevelType w:val="hybridMultilevel"/>
    <w:tmpl w:val="7AEE7A6C"/>
    <w:lvl w:ilvl="0" w:tplc="EFFAE2EE">
      <w:start w:val="1"/>
      <w:numFmt w:val="lowerLetter"/>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1206A0"/>
    <w:multiLevelType w:val="hybridMultilevel"/>
    <w:tmpl w:val="2F6E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F51B0"/>
    <w:multiLevelType w:val="hybridMultilevel"/>
    <w:tmpl w:val="6EE24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E360B"/>
    <w:multiLevelType w:val="hybridMultilevel"/>
    <w:tmpl w:val="60228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12F70"/>
    <w:multiLevelType w:val="hybridMultilevel"/>
    <w:tmpl w:val="AF1AE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A93388"/>
    <w:multiLevelType w:val="multilevel"/>
    <w:tmpl w:val="4190A054"/>
    <w:styleLink w:val="List0"/>
    <w:lvl w:ilvl="0">
      <w:start w:val="1"/>
      <w:numFmt w:val="upperLetter"/>
      <w:lvlText w:val="%1."/>
      <w:lvlJc w:val="left"/>
      <w:pPr>
        <w:tabs>
          <w:tab w:val="num" w:pos="720"/>
        </w:tabs>
        <w:ind w:left="720" w:hanging="360"/>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3">
    <w:nsid w:val="33952434"/>
    <w:multiLevelType w:val="hybridMultilevel"/>
    <w:tmpl w:val="AF1AE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3021D"/>
    <w:multiLevelType w:val="hybridMultilevel"/>
    <w:tmpl w:val="B82AB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62D35"/>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F6CB6"/>
    <w:multiLevelType w:val="hybridMultilevel"/>
    <w:tmpl w:val="DE642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C5B5B"/>
    <w:multiLevelType w:val="hybridMultilevel"/>
    <w:tmpl w:val="597EA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91A38"/>
    <w:multiLevelType w:val="hybridMultilevel"/>
    <w:tmpl w:val="0EEA859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E8D48E4"/>
    <w:multiLevelType w:val="hybridMultilevel"/>
    <w:tmpl w:val="63F41D94"/>
    <w:lvl w:ilvl="0" w:tplc="F9D27C8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C29A2"/>
    <w:multiLevelType w:val="hybridMultilevel"/>
    <w:tmpl w:val="21806DBC"/>
    <w:lvl w:ilvl="0" w:tplc="3E768DC4">
      <w:start w:val="1"/>
      <w:numFmt w:val="lowerLetter"/>
      <w:lvlText w:val="%1)"/>
      <w:lvlJc w:val="left"/>
      <w:pPr>
        <w:ind w:left="720" w:hanging="36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10B63"/>
    <w:multiLevelType w:val="hybridMultilevel"/>
    <w:tmpl w:val="A5425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2549A"/>
    <w:multiLevelType w:val="hybridMultilevel"/>
    <w:tmpl w:val="60228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0A3837"/>
    <w:multiLevelType w:val="hybridMultilevel"/>
    <w:tmpl w:val="60228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322D7C"/>
    <w:multiLevelType w:val="hybridMultilevel"/>
    <w:tmpl w:val="3D94A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D0968"/>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537F55"/>
    <w:multiLevelType w:val="hybridMultilevel"/>
    <w:tmpl w:val="60228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47EBE"/>
    <w:multiLevelType w:val="hybridMultilevel"/>
    <w:tmpl w:val="510CA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F66A9"/>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B1E8C"/>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68416B"/>
    <w:multiLevelType w:val="hybridMultilevel"/>
    <w:tmpl w:val="AA6457D6"/>
    <w:lvl w:ilvl="0" w:tplc="46CEB31C">
      <w:start w:val="1"/>
      <w:numFmt w:val="bullet"/>
      <w:lvlText w:val="-"/>
      <w:lvlJc w:val="left"/>
      <w:pPr>
        <w:ind w:left="1368" w:hanging="360"/>
      </w:pPr>
      <w:rPr>
        <w:rFonts w:ascii="Calibri" w:eastAsia="Times New Roman" w:hAnsi="Calibri"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1">
    <w:nsid w:val="688E60D0"/>
    <w:multiLevelType w:val="hybridMultilevel"/>
    <w:tmpl w:val="60228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F04831"/>
    <w:multiLevelType w:val="hybridMultilevel"/>
    <w:tmpl w:val="26FA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2056E"/>
    <w:multiLevelType w:val="hybridMultilevel"/>
    <w:tmpl w:val="DE642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5A10C2"/>
    <w:multiLevelType w:val="hybridMultilevel"/>
    <w:tmpl w:val="0786D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54B45"/>
    <w:multiLevelType w:val="hybridMultilevel"/>
    <w:tmpl w:val="D6FC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34"/>
  </w:num>
  <w:num w:numId="4">
    <w:abstractNumId w:val="6"/>
  </w:num>
  <w:num w:numId="5">
    <w:abstractNumId w:val="38"/>
  </w:num>
  <w:num w:numId="6">
    <w:abstractNumId w:val="14"/>
  </w:num>
  <w:num w:numId="7">
    <w:abstractNumId w:val="30"/>
  </w:num>
  <w:num w:numId="8">
    <w:abstractNumId w:val="9"/>
  </w:num>
  <w:num w:numId="9">
    <w:abstractNumId w:val="44"/>
  </w:num>
  <w:num w:numId="10">
    <w:abstractNumId w:val="18"/>
  </w:num>
  <w:num w:numId="11">
    <w:abstractNumId w:val="42"/>
  </w:num>
  <w:num w:numId="12">
    <w:abstractNumId w:val="39"/>
  </w:num>
  <w:num w:numId="13">
    <w:abstractNumId w:val="16"/>
  </w:num>
  <w:num w:numId="14">
    <w:abstractNumId w:val="3"/>
  </w:num>
  <w:num w:numId="15">
    <w:abstractNumId w:val="10"/>
  </w:num>
  <w:num w:numId="16">
    <w:abstractNumId w:val="12"/>
  </w:num>
  <w:num w:numId="17">
    <w:abstractNumId w:val="24"/>
  </w:num>
  <w:num w:numId="18">
    <w:abstractNumId w:val="2"/>
  </w:num>
  <w:num w:numId="19">
    <w:abstractNumId w:val="43"/>
  </w:num>
  <w:num w:numId="20">
    <w:abstractNumId w:val="26"/>
  </w:num>
  <w:num w:numId="21">
    <w:abstractNumId w:val="21"/>
  </w:num>
  <w:num w:numId="22">
    <w:abstractNumId w:val="23"/>
  </w:num>
  <w:num w:numId="23">
    <w:abstractNumId w:val="13"/>
  </w:num>
  <w:num w:numId="24">
    <w:abstractNumId w:val="1"/>
  </w:num>
  <w:num w:numId="25">
    <w:abstractNumId w:val="8"/>
  </w:num>
  <w:num w:numId="26">
    <w:abstractNumId w:val="35"/>
  </w:num>
  <w:num w:numId="27">
    <w:abstractNumId w:val="45"/>
  </w:num>
  <w:num w:numId="28">
    <w:abstractNumId w:val="4"/>
  </w:num>
  <w:num w:numId="29">
    <w:abstractNumId w:val="15"/>
  </w:num>
  <w:num w:numId="30">
    <w:abstractNumId w:val="25"/>
  </w:num>
  <w:num w:numId="31">
    <w:abstractNumId w:val="11"/>
  </w:num>
  <w:num w:numId="32">
    <w:abstractNumId w:val="5"/>
  </w:num>
  <w:num w:numId="33">
    <w:abstractNumId w:val="19"/>
  </w:num>
  <w:num w:numId="34">
    <w:abstractNumId w:val="33"/>
  </w:num>
  <w:num w:numId="35">
    <w:abstractNumId w:val="40"/>
  </w:num>
  <w:num w:numId="36">
    <w:abstractNumId w:val="20"/>
  </w:num>
  <w:num w:numId="37">
    <w:abstractNumId w:val="36"/>
  </w:num>
  <w:num w:numId="38">
    <w:abstractNumId w:val="41"/>
  </w:num>
  <w:num w:numId="39">
    <w:abstractNumId w:val="29"/>
  </w:num>
  <w:num w:numId="40">
    <w:abstractNumId w:val="0"/>
  </w:num>
  <w:num w:numId="41">
    <w:abstractNumId w:val="27"/>
  </w:num>
  <w:num w:numId="42">
    <w:abstractNumId w:val="7"/>
  </w:num>
  <w:num w:numId="43">
    <w:abstractNumId w:val="37"/>
  </w:num>
  <w:num w:numId="44">
    <w:abstractNumId w:val="17"/>
  </w:num>
  <w:num w:numId="45">
    <w:abstractNumId w:val="32"/>
  </w:num>
  <w:num w:numId="46">
    <w:abstractNumId w:val="3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Evon">
    <w15:presenceInfo w15:providerId="AD" w15:userId="S-1-5-21-91958345-2033876075-689510791-1015"/>
  </w15:person>
  <w15:person w15:author="Michael Ludwig">
    <w15:presenceInfo w15:providerId="AD" w15:userId="S-1-5-21-1644491937-1604221776-725345543-199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17"/>
    <w:rsid w:val="000013FD"/>
    <w:rsid w:val="00003B63"/>
    <w:rsid w:val="00004983"/>
    <w:rsid w:val="000049BF"/>
    <w:rsid w:val="00005458"/>
    <w:rsid w:val="00006D79"/>
    <w:rsid w:val="00007A65"/>
    <w:rsid w:val="000106BB"/>
    <w:rsid w:val="00012102"/>
    <w:rsid w:val="000137FB"/>
    <w:rsid w:val="00014195"/>
    <w:rsid w:val="000141E6"/>
    <w:rsid w:val="00014CD0"/>
    <w:rsid w:val="00014F4A"/>
    <w:rsid w:val="0001581D"/>
    <w:rsid w:val="00016B6F"/>
    <w:rsid w:val="00022741"/>
    <w:rsid w:val="00022A9D"/>
    <w:rsid w:val="00023D76"/>
    <w:rsid w:val="00024C4A"/>
    <w:rsid w:val="00024C89"/>
    <w:rsid w:val="00025EBF"/>
    <w:rsid w:val="00026D3A"/>
    <w:rsid w:val="00027571"/>
    <w:rsid w:val="00027EFE"/>
    <w:rsid w:val="0003079F"/>
    <w:rsid w:val="000323E9"/>
    <w:rsid w:val="00033064"/>
    <w:rsid w:val="00035184"/>
    <w:rsid w:val="00035CED"/>
    <w:rsid w:val="00036480"/>
    <w:rsid w:val="000453DA"/>
    <w:rsid w:val="000457A9"/>
    <w:rsid w:val="00045990"/>
    <w:rsid w:val="00050B3E"/>
    <w:rsid w:val="0005149A"/>
    <w:rsid w:val="0005180B"/>
    <w:rsid w:val="0006144E"/>
    <w:rsid w:val="00063A9B"/>
    <w:rsid w:val="00064979"/>
    <w:rsid w:val="0006499C"/>
    <w:rsid w:val="0006548E"/>
    <w:rsid w:val="00066C32"/>
    <w:rsid w:val="0006792A"/>
    <w:rsid w:val="000703D6"/>
    <w:rsid w:val="00073352"/>
    <w:rsid w:val="000734B1"/>
    <w:rsid w:val="00075F79"/>
    <w:rsid w:val="000771F1"/>
    <w:rsid w:val="00083E60"/>
    <w:rsid w:val="000857FA"/>
    <w:rsid w:val="00086012"/>
    <w:rsid w:val="00087B92"/>
    <w:rsid w:val="00090A38"/>
    <w:rsid w:val="00091382"/>
    <w:rsid w:val="00091831"/>
    <w:rsid w:val="00094AC5"/>
    <w:rsid w:val="000971AD"/>
    <w:rsid w:val="000976C7"/>
    <w:rsid w:val="000A010C"/>
    <w:rsid w:val="000A0285"/>
    <w:rsid w:val="000A1F9F"/>
    <w:rsid w:val="000A3345"/>
    <w:rsid w:val="000A3EC0"/>
    <w:rsid w:val="000A58C9"/>
    <w:rsid w:val="000A61A4"/>
    <w:rsid w:val="000A62CF"/>
    <w:rsid w:val="000A78DD"/>
    <w:rsid w:val="000A7C12"/>
    <w:rsid w:val="000B2D10"/>
    <w:rsid w:val="000B4743"/>
    <w:rsid w:val="000B566A"/>
    <w:rsid w:val="000B5CA0"/>
    <w:rsid w:val="000B76ED"/>
    <w:rsid w:val="000C1D2B"/>
    <w:rsid w:val="000C45A7"/>
    <w:rsid w:val="000D1532"/>
    <w:rsid w:val="000D28CA"/>
    <w:rsid w:val="000D4762"/>
    <w:rsid w:val="000D538B"/>
    <w:rsid w:val="000E1F51"/>
    <w:rsid w:val="000E3B58"/>
    <w:rsid w:val="000F2975"/>
    <w:rsid w:val="000F34D6"/>
    <w:rsid w:val="000F377A"/>
    <w:rsid w:val="000F6F5C"/>
    <w:rsid w:val="00101C02"/>
    <w:rsid w:val="00107319"/>
    <w:rsid w:val="001075F3"/>
    <w:rsid w:val="00111364"/>
    <w:rsid w:val="00111404"/>
    <w:rsid w:val="0011435B"/>
    <w:rsid w:val="0011748A"/>
    <w:rsid w:val="001176C1"/>
    <w:rsid w:val="0011780E"/>
    <w:rsid w:val="00122E50"/>
    <w:rsid w:val="00125B8B"/>
    <w:rsid w:val="00125D9B"/>
    <w:rsid w:val="0012749C"/>
    <w:rsid w:val="00132003"/>
    <w:rsid w:val="001351DC"/>
    <w:rsid w:val="0014018B"/>
    <w:rsid w:val="00140A68"/>
    <w:rsid w:val="00140AD1"/>
    <w:rsid w:val="00141883"/>
    <w:rsid w:val="001420CC"/>
    <w:rsid w:val="00145C2A"/>
    <w:rsid w:val="00146385"/>
    <w:rsid w:val="00152217"/>
    <w:rsid w:val="0015259D"/>
    <w:rsid w:val="001531BA"/>
    <w:rsid w:val="00153CA2"/>
    <w:rsid w:val="0015452F"/>
    <w:rsid w:val="001545C2"/>
    <w:rsid w:val="0015541C"/>
    <w:rsid w:val="0015688D"/>
    <w:rsid w:val="001606E8"/>
    <w:rsid w:val="00160C85"/>
    <w:rsid w:val="00162458"/>
    <w:rsid w:val="00162DF7"/>
    <w:rsid w:val="001634C8"/>
    <w:rsid w:val="001643C2"/>
    <w:rsid w:val="00164597"/>
    <w:rsid w:val="001651A8"/>
    <w:rsid w:val="00165D25"/>
    <w:rsid w:val="00166C90"/>
    <w:rsid w:val="001676FA"/>
    <w:rsid w:val="0017299C"/>
    <w:rsid w:val="001761F2"/>
    <w:rsid w:val="00176729"/>
    <w:rsid w:val="00177199"/>
    <w:rsid w:val="00180181"/>
    <w:rsid w:val="00180C01"/>
    <w:rsid w:val="00181338"/>
    <w:rsid w:val="00185939"/>
    <w:rsid w:val="0018627D"/>
    <w:rsid w:val="00187E4D"/>
    <w:rsid w:val="001906FD"/>
    <w:rsid w:val="001913E5"/>
    <w:rsid w:val="001927C4"/>
    <w:rsid w:val="00195414"/>
    <w:rsid w:val="001977BA"/>
    <w:rsid w:val="00197B89"/>
    <w:rsid w:val="001A0C53"/>
    <w:rsid w:val="001A17EF"/>
    <w:rsid w:val="001A4799"/>
    <w:rsid w:val="001A6D7D"/>
    <w:rsid w:val="001B1315"/>
    <w:rsid w:val="001B1ECF"/>
    <w:rsid w:val="001B3B49"/>
    <w:rsid w:val="001B3D4B"/>
    <w:rsid w:val="001B46CA"/>
    <w:rsid w:val="001B7D87"/>
    <w:rsid w:val="001C13EF"/>
    <w:rsid w:val="001C7662"/>
    <w:rsid w:val="001C7E5D"/>
    <w:rsid w:val="001D05E7"/>
    <w:rsid w:val="001D1460"/>
    <w:rsid w:val="001D2B74"/>
    <w:rsid w:val="001D394A"/>
    <w:rsid w:val="001D411E"/>
    <w:rsid w:val="001D47B9"/>
    <w:rsid w:val="001D49D5"/>
    <w:rsid w:val="001D7224"/>
    <w:rsid w:val="001E23E2"/>
    <w:rsid w:val="001E4678"/>
    <w:rsid w:val="001E4B81"/>
    <w:rsid w:val="001E64B9"/>
    <w:rsid w:val="001E6E16"/>
    <w:rsid w:val="001F32F4"/>
    <w:rsid w:val="001F33F8"/>
    <w:rsid w:val="001F3C67"/>
    <w:rsid w:val="001F5B84"/>
    <w:rsid w:val="001F628E"/>
    <w:rsid w:val="001F7D3E"/>
    <w:rsid w:val="002011B6"/>
    <w:rsid w:val="00205EEB"/>
    <w:rsid w:val="00206488"/>
    <w:rsid w:val="00207BF3"/>
    <w:rsid w:val="00212FA6"/>
    <w:rsid w:val="00215132"/>
    <w:rsid w:val="00215213"/>
    <w:rsid w:val="002156D9"/>
    <w:rsid w:val="00217A50"/>
    <w:rsid w:val="00220205"/>
    <w:rsid w:val="00220A6C"/>
    <w:rsid w:val="00221017"/>
    <w:rsid w:val="002233EC"/>
    <w:rsid w:val="0023128B"/>
    <w:rsid w:val="00231BEF"/>
    <w:rsid w:val="0023534D"/>
    <w:rsid w:val="00235B8D"/>
    <w:rsid w:val="00237565"/>
    <w:rsid w:val="00237DFB"/>
    <w:rsid w:val="0024265B"/>
    <w:rsid w:val="00242CF4"/>
    <w:rsid w:val="00243437"/>
    <w:rsid w:val="002446C8"/>
    <w:rsid w:val="0024487E"/>
    <w:rsid w:val="002461C4"/>
    <w:rsid w:val="002463F4"/>
    <w:rsid w:val="00250146"/>
    <w:rsid w:val="0025060E"/>
    <w:rsid w:val="00251B2D"/>
    <w:rsid w:val="00254BA1"/>
    <w:rsid w:val="002612F7"/>
    <w:rsid w:val="002641E2"/>
    <w:rsid w:val="00267C42"/>
    <w:rsid w:val="0027005B"/>
    <w:rsid w:val="00270D13"/>
    <w:rsid w:val="002714B0"/>
    <w:rsid w:val="002722CC"/>
    <w:rsid w:val="00273950"/>
    <w:rsid w:val="002752B4"/>
    <w:rsid w:val="0027557A"/>
    <w:rsid w:val="00277966"/>
    <w:rsid w:val="00282B67"/>
    <w:rsid w:val="00282C4B"/>
    <w:rsid w:val="00283466"/>
    <w:rsid w:val="0028399F"/>
    <w:rsid w:val="00286964"/>
    <w:rsid w:val="00287C9C"/>
    <w:rsid w:val="00290B86"/>
    <w:rsid w:val="00290BF8"/>
    <w:rsid w:val="002925AC"/>
    <w:rsid w:val="00297262"/>
    <w:rsid w:val="00297464"/>
    <w:rsid w:val="0029749C"/>
    <w:rsid w:val="00297B45"/>
    <w:rsid w:val="002A0DD1"/>
    <w:rsid w:val="002A1805"/>
    <w:rsid w:val="002A25E2"/>
    <w:rsid w:val="002A3DE7"/>
    <w:rsid w:val="002A3E79"/>
    <w:rsid w:val="002B17CE"/>
    <w:rsid w:val="002B342D"/>
    <w:rsid w:val="002B4D70"/>
    <w:rsid w:val="002B6A5F"/>
    <w:rsid w:val="002B7D4D"/>
    <w:rsid w:val="002C1C41"/>
    <w:rsid w:val="002C4420"/>
    <w:rsid w:val="002C4C26"/>
    <w:rsid w:val="002D035A"/>
    <w:rsid w:val="002D2E9A"/>
    <w:rsid w:val="002D6113"/>
    <w:rsid w:val="002D61EC"/>
    <w:rsid w:val="002D6308"/>
    <w:rsid w:val="002E0F81"/>
    <w:rsid w:val="002F717D"/>
    <w:rsid w:val="003001AE"/>
    <w:rsid w:val="0030117D"/>
    <w:rsid w:val="00303281"/>
    <w:rsid w:val="00303C9A"/>
    <w:rsid w:val="00304F82"/>
    <w:rsid w:val="0031190B"/>
    <w:rsid w:val="003130D8"/>
    <w:rsid w:val="00314879"/>
    <w:rsid w:val="003174AE"/>
    <w:rsid w:val="003206B8"/>
    <w:rsid w:val="0032160A"/>
    <w:rsid w:val="00323525"/>
    <w:rsid w:val="00323B94"/>
    <w:rsid w:val="0032503A"/>
    <w:rsid w:val="003253CD"/>
    <w:rsid w:val="003312D3"/>
    <w:rsid w:val="00331903"/>
    <w:rsid w:val="003354D9"/>
    <w:rsid w:val="00335944"/>
    <w:rsid w:val="00335E7D"/>
    <w:rsid w:val="00336638"/>
    <w:rsid w:val="00336840"/>
    <w:rsid w:val="00343C60"/>
    <w:rsid w:val="003448FC"/>
    <w:rsid w:val="00344EFD"/>
    <w:rsid w:val="00345C5C"/>
    <w:rsid w:val="0034736F"/>
    <w:rsid w:val="00350495"/>
    <w:rsid w:val="0035105E"/>
    <w:rsid w:val="00351075"/>
    <w:rsid w:val="0035122B"/>
    <w:rsid w:val="003522B9"/>
    <w:rsid w:val="003524C2"/>
    <w:rsid w:val="0035263D"/>
    <w:rsid w:val="00353531"/>
    <w:rsid w:val="00353D30"/>
    <w:rsid w:val="003549EB"/>
    <w:rsid w:val="003577E6"/>
    <w:rsid w:val="00360280"/>
    <w:rsid w:val="003611B9"/>
    <w:rsid w:val="00363C71"/>
    <w:rsid w:val="00364DB3"/>
    <w:rsid w:val="00366620"/>
    <w:rsid w:val="00370094"/>
    <w:rsid w:val="00371F29"/>
    <w:rsid w:val="00372397"/>
    <w:rsid w:val="0037245A"/>
    <w:rsid w:val="00373AC1"/>
    <w:rsid w:val="00380C32"/>
    <w:rsid w:val="00384381"/>
    <w:rsid w:val="00386004"/>
    <w:rsid w:val="00386B18"/>
    <w:rsid w:val="003873DE"/>
    <w:rsid w:val="00387A12"/>
    <w:rsid w:val="00393C5A"/>
    <w:rsid w:val="00393D2A"/>
    <w:rsid w:val="00395027"/>
    <w:rsid w:val="003962D8"/>
    <w:rsid w:val="003A276A"/>
    <w:rsid w:val="003A47FF"/>
    <w:rsid w:val="003A4865"/>
    <w:rsid w:val="003A4AD0"/>
    <w:rsid w:val="003A5A24"/>
    <w:rsid w:val="003A5E23"/>
    <w:rsid w:val="003A6453"/>
    <w:rsid w:val="003A6984"/>
    <w:rsid w:val="003A7C1E"/>
    <w:rsid w:val="003B00E0"/>
    <w:rsid w:val="003B1B28"/>
    <w:rsid w:val="003B390D"/>
    <w:rsid w:val="003D2C75"/>
    <w:rsid w:val="003D3070"/>
    <w:rsid w:val="003D6658"/>
    <w:rsid w:val="003D6671"/>
    <w:rsid w:val="003D72D8"/>
    <w:rsid w:val="003E2F73"/>
    <w:rsid w:val="003E2FEB"/>
    <w:rsid w:val="003E3E3B"/>
    <w:rsid w:val="003E4CC1"/>
    <w:rsid w:val="003E5388"/>
    <w:rsid w:val="003E7C6C"/>
    <w:rsid w:val="003F2CB4"/>
    <w:rsid w:val="003F44E6"/>
    <w:rsid w:val="0040078E"/>
    <w:rsid w:val="00403CEE"/>
    <w:rsid w:val="00404B90"/>
    <w:rsid w:val="00412687"/>
    <w:rsid w:val="00413071"/>
    <w:rsid w:val="004130D1"/>
    <w:rsid w:val="004148D1"/>
    <w:rsid w:val="00415F38"/>
    <w:rsid w:val="00416EC9"/>
    <w:rsid w:val="004179C0"/>
    <w:rsid w:val="004201B7"/>
    <w:rsid w:val="00420976"/>
    <w:rsid w:val="004211EB"/>
    <w:rsid w:val="00422547"/>
    <w:rsid w:val="00441A04"/>
    <w:rsid w:val="00442A9C"/>
    <w:rsid w:val="004443D7"/>
    <w:rsid w:val="004455C6"/>
    <w:rsid w:val="004469A1"/>
    <w:rsid w:val="00447CFA"/>
    <w:rsid w:val="0045065E"/>
    <w:rsid w:val="00451708"/>
    <w:rsid w:val="00452FB8"/>
    <w:rsid w:val="00453DBA"/>
    <w:rsid w:val="004543BF"/>
    <w:rsid w:val="004571C8"/>
    <w:rsid w:val="00457F3C"/>
    <w:rsid w:val="004608B2"/>
    <w:rsid w:val="0046451E"/>
    <w:rsid w:val="004659B6"/>
    <w:rsid w:val="004663A9"/>
    <w:rsid w:val="0047654C"/>
    <w:rsid w:val="0047789E"/>
    <w:rsid w:val="00481081"/>
    <w:rsid w:val="00482553"/>
    <w:rsid w:val="00484BF9"/>
    <w:rsid w:val="00485A9F"/>
    <w:rsid w:val="00485DC6"/>
    <w:rsid w:val="00486065"/>
    <w:rsid w:val="0049050C"/>
    <w:rsid w:val="004906F9"/>
    <w:rsid w:val="004908E1"/>
    <w:rsid w:val="00492045"/>
    <w:rsid w:val="004930DF"/>
    <w:rsid w:val="0049369B"/>
    <w:rsid w:val="00494A54"/>
    <w:rsid w:val="00494D71"/>
    <w:rsid w:val="004969B4"/>
    <w:rsid w:val="00496EE3"/>
    <w:rsid w:val="00497B78"/>
    <w:rsid w:val="004A1D7A"/>
    <w:rsid w:val="004A46A7"/>
    <w:rsid w:val="004A4998"/>
    <w:rsid w:val="004A6504"/>
    <w:rsid w:val="004A6DBD"/>
    <w:rsid w:val="004B10A5"/>
    <w:rsid w:val="004B387B"/>
    <w:rsid w:val="004B413F"/>
    <w:rsid w:val="004B69CA"/>
    <w:rsid w:val="004C0750"/>
    <w:rsid w:val="004C28F6"/>
    <w:rsid w:val="004C4335"/>
    <w:rsid w:val="004C4DA5"/>
    <w:rsid w:val="004C4FC0"/>
    <w:rsid w:val="004C78EF"/>
    <w:rsid w:val="004D0ED0"/>
    <w:rsid w:val="004D3875"/>
    <w:rsid w:val="004D3AA0"/>
    <w:rsid w:val="004D3AC9"/>
    <w:rsid w:val="004D4E01"/>
    <w:rsid w:val="004D504E"/>
    <w:rsid w:val="004D779A"/>
    <w:rsid w:val="004E0F95"/>
    <w:rsid w:val="004E16E2"/>
    <w:rsid w:val="004E33B1"/>
    <w:rsid w:val="004E352C"/>
    <w:rsid w:val="004E3702"/>
    <w:rsid w:val="004E3AE4"/>
    <w:rsid w:val="004E7AC0"/>
    <w:rsid w:val="004E7D22"/>
    <w:rsid w:val="004F1444"/>
    <w:rsid w:val="004F3E45"/>
    <w:rsid w:val="00501909"/>
    <w:rsid w:val="00502038"/>
    <w:rsid w:val="00506DC0"/>
    <w:rsid w:val="0050780B"/>
    <w:rsid w:val="00512E93"/>
    <w:rsid w:val="00516283"/>
    <w:rsid w:val="00522A5E"/>
    <w:rsid w:val="0052353D"/>
    <w:rsid w:val="00524C15"/>
    <w:rsid w:val="00525519"/>
    <w:rsid w:val="005265E7"/>
    <w:rsid w:val="005270BB"/>
    <w:rsid w:val="005340B0"/>
    <w:rsid w:val="00534476"/>
    <w:rsid w:val="00534618"/>
    <w:rsid w:val="00534D74"/>
    <w:rsid w:val="005354D3"/>
    <w:rsid w:val="00536EF5"/>
    <w:rsid w:val="005378D7"/>
    <w:rsid w:val="0054097C"/>
    <w:rsid w:val="00540991"/>
    <w:rsid w:val="0054363D"/>
    <w:rsid w:val="00545B8B"/>
    <w:rsid w:val="00545C14"/>
    <w:rsid w:val="005464D1"/>
    <w:rsid w:val="00555329"/>
    <w:rsid w:val="005561A5"/>
    <w:rsid w:val="00556EAC"/>
    <w:rsid w:val="00561F96"/>
    <w:rsid w:val="0056466D"/>
    <w:rsid w:val="005665B8"/>
    <w:rsid w:val="005718DE"/>
    <w:rsid w:val="00571A86"/>
    <w:rsid w:val="005730C7"/>
    <w:rsid w:val="00576F2C"/>
    <w:rsid w:val="00580725"/>
    <w:rsid w:val="00581070"/>
    <w:rsid w:val="0058138E"/>
    <w:rsid w:val="00582968"/>
    <w:rsid w:val="00583FB2"/>
    <w:rsid w:val="00586FA3"/>
    <w:rsid w:val="00587142"/>
    <w:rsid w:val="0058782E"/>
    <w:rsid w:val="00596B36"/>
    <w:rsid w:val="0059753E"/>
    <w:rsid w:val="00597F76"/>
    <w:rsid w:val="005A1C37"/>
    <w:rsid w:val="005A5D68"/>
    <w:rsid w:val="005A78BF"/>
    <w:rsid w:val="005B3761"/>
    <w:rsid w:val="005B468C"/>
    <w:rsid w:val="005B4FC3"/>
    <w:rsid w:val="005B519C"/>
    <w:rsid w:val="005B5A0A"/>
    <w:rsid w:val="005B6679"/>
    <w:rsid w:val="005C4C9B"/>
    <w:rsid w:val="005C559A"/>
    <w:rsid w:val="005C5675"/>
    <w:rsid w:val="005D441F"/>
    <w:rsid w:val="005D547E"/>
    <w:rsid w:val="005D5EFF"/>
    <w:rsid w:val="005E0084"/>
    <w:rsid w:val="005E0BEB"/>
    <w:rsid w:val="005E3392"/>
    <w:rsid w:val="005E3A07"/>
    <w:rsid w:val="005E60BE"/>
    <w:rsid w:val="005F0669"/>
    <w:rsid w:val="005F26CA"/>
    <w:rsid w:val="005F3485"/>
    <w:rsid w:val="00604DC7"/>
    <w:rsid w:val="00606284"/>
    <w:rsid w:val="00606382"/>
    <w:rsid w:val="00606E3C"/>
    <w:rsid w:val="006109B5"/>
    <w:rsid w:val="006126B1"/>
    <w:rsid w:val="0062135C"/>
    <w:rsid w:val="00622B79"/>
    <w:rsid w:val="00623E92"/>
    <w:rsid w:val="0062781A"/>
    <w:rsid w:val="006365DC"/>
    <w:rsid w:val="00636EC2"/>
    <w:rsid w:val="00637F46"/>
    <w:rsid w:val="00641C2F"/>
    <w:rsid w:val="00642C30"/>
    <w:rsid w:val="0064324B"/>
    <w:rsid w:val="00645328"/>
    <w:rsid w:val="00645AA9"/>
    <w:rsid w:val="00645F49"/>
    <w:rsid w:val="0064637C"/>
    <w:rsid w:val="00646907"/>
    <w:rsid w:val="006502BE"/>
    <w:rsid w:val="006522F5"/>
    <w:rsid w:val="0065394D"/>
    <w:rsid w:val="00654791"/>
    <w:rsid w:val="0065793A"/>
    <w:rsid w:val="00657960"/>
    <w:rsid w:val="00663286"/>
    <w:rsid w:val="006633FE"/>
    <w:rsid w:val="00663836"/>
    <w:rsid w:val="00666790"/>
    <w:rsid w:val="00671320"/>
    <w:rsid w:val="00677089"/>
    <w:rsid w:val="00680257"/>
    <w:rsid w:val="006808E9"/>
    <w:rsid w:val="00683CFC"/>
    <w:rsid w:val="00685D4D"/>
    <w:rsid w:val="006862BA"/>
    <w:rsid w:val="00690A80"/>
    <w:rsid w:val="00690B91"/>
    <w:rsid w:val="006921D1"/>
    <w:rsid w:val="006923B0"/>
    <w:rsid w:val="00694921"/>
    <w:rsid w:val="00696253"/>
    <w:rsid w:val="006964E4"/>
    <w:rsid w:val="006968BE"/>
    <w:rsid w:val="006A44FA"/>
    <w:rsid w:val="006A5B8F"/>
    <w:rsid w:val="006A5F48"/>
    <w:rsid w:val="006A671F"/>
    <w:rsid w:val="006A6E8A"/>
    <w:rsid w:val="006B0AB2"/>
    <w:rsid w:val="006B3099"/>
    <w:rsid w:val="006B4529"/>
    <w:rsid w:val="006B49B5"/>
    <w:rsid w:val="006B7539"/>
    <w:rsid w:val="006B7E46"/>
    <w:rsid w:val="006C3CB0"/>
    <w:rsid w:val="006C4138"/>
    <w:rsid w:val="006C5B56"/>
    <w:rsid w:val="006C6417"/>
    <w:rsid w:val="006D28F5"/>
    <w:rsid w:val="006D640C"/>
    <w:rsid w:val="006D7014"/>
    <w:rsid w:val="006E248A"/>
    <w:rsid w:val="006F0EF2"/>
    <w:rsid w:val="006F196F"/>
    <w:rsid w:val="006F5DE1"/>
    <w:rsid w:val="00702894"/>
    <w:rsid w:val="00703C7A"/>
    <w:rsid w:val="00705DD4"/>
    <w:rsid w:val="00707021"/>
    <w:rsid w:val="00707C83"/>
    <w:rsid w:val="00710269"/>
    <w:rsid w:val="00710E18"/>
    <w:rsid w:val="007111D3"/>
    <w:rsid w:val="00712948"/>
    <w:rsid w:val="007130F0"/>
    <w:rsid w:val="0072294E"/>
    <w:rsid w:val="00724154"/>
    <w:rsid w:val="00724288"/>
    <w:rsid w:val="00724928"/>
    <w:rsid w:val="00727534"/>
    <w:rsid w:val="00727B05"/>
    <w:rsid w:val="00732531"/>
    <w:rsid w:val="00732D7E"/>
    <w:rsid w:val="00734E89"/>
    <w:rsid w:val="007359C9"/>
    <w:rsid w:val="007366A6"/>
    <w:rsid w:val="00736C37"/>
    <w:rsid w:val="00737BDD"/>
    <w:rsid w:val="007411AE"/>
    <w:rsid w:val="00743D57"/>
    <w:rsid w:val="00743EC7"/>
    <w:rsid w:val="00744180"/>
    <w:rsid w:val="0074739B"/>
    <w:rsid w:val="0074749A"/>
    <w:rsid w:val="00747731"/>
    <w:rsid w:val="00752018"/>
    <w:rsid w:val="00755069"/>
    <w:rsid w:val="007614CF"/>
    <w:rsid w:val="00763157"/>
    <w:rsid w:val="007645A0"/>
    <w:rsid w:val="007668AD"/>
    <w:rsid w:val="00767823"/>
    <w:rsid w:val="00767914"/>
    <w:rsid w:val="00775B1E"/>
    <w:rsid w:val="007761B0"/>
    <w:rsid w:val="00781D2A"/>
    <w:rsid w:val="007823A6"/>
    <w:rsid w:val="00782851"/>
    <w:rsid w:val="00784225"/>
    <w:rsid w:val="00785663"/>
    <w:rsid w:val="00786001"/>
    <w:rsid w:val="00787488"/>
    <w:rsid w:val="00791A39"/>
    <w:rsid w:val="00792AA3"/>
    <w:rsid w:val="00792F9B"/>
    <w:rsid w:val="007A17EC"/>
    <w:rsid w:val="007A5231"/>
    <w:rsid w:val="007B2B99"/>
    <w:rsid w:val="007B6555"/>
    <w:rsid w:val="007C0562"/>
    <w:rsid w:val="007C097A"/>
    <w:rsid w:val="007C52C6"/>
    <w:rsid w:val="007C5FA1"/>
    <w:rsid w:val="007C72EB"/>
    <w:rsid w:val="007D1008"/>
    <w:rsid w:val="007D1732"/>
    <w:rsid w:val="007D1DEE"/>
    <w:rsid w:val="007D24B0"/>
    <w:rsid w:val="007D3F53"/>
    <w:rsid w:val="007E249B"/>
    <w:rsid w:val="007E3BE3"/>
    <w:rsid w:val="007E3D58"/>
    <w:rsid w:val="007E6F00"/>
    <w:rsid w:val="007E7228"/>
    <w:rsid w:val="007F70CD"/>
    <w:rsid w:val="00800C2E"/>
    <w:rsid w:val="008012EE"/>
    <w:rsid w:val="00802FEA"/>
    <w:rsid w:val="00803F9D"/>
    <w:rsid w:val="0080514F"/>
    <w:rsid w:val="0080637B"/>
    <w:rsid w:val="00806C6A"/>
    <w:rsid w:val="00807122"/>
    <w:rsid w:val="008074F7"/>
    <w:rsid w:val="008076C7"/>
    <w:rsid w:val="00807D50"/>
    <w:rsid w:val="00813842"/>
    <w:rsid w:val="008210E8"/>
    <w:rsid w:val="0082388B"/>
    <w:rsid w:val="00825CF6"/>
    <w:rsid w:val="008308AD"/>
    <w:rsid w:val="00830C09"/>
    <w:rsid w:val="00832217"/>
    <w:rsid w:val="0083269B"/>
    <w:rsid w:val="00835230"/>
    <w:rsid w:val="00836ABB"/>
    <w:rsid w:val="008371B5"/>
    <w:rsid w:val="0083733A"/>
    <w:rsid w:val="008415CC"/>
    <w:rsid w:val="008417CE"/>
    <w:rsid w:val="008425D2"/>
    <w:rsid w:val="00845B93"/>
    <w:rsid w:val="00845E5A"/>
    <w:rsid w:val="00846A60"/>
    <w:rsid w:val="00850C7D"/>
    <w:rsid w:val="008522C6"/>
    <w:rsid w:val="0085430E"/>
    <w:rsid w:val="0085710E"/>
    <w:rsid w:val="00857D81"/>
    <w:rsid w:val="00860CD3"/>
    <w:rsid w:val="0086553F"/>
    <w:rsid w:val="00867C74"/>
    <w:rsid w:val="00871CCB"/>
    <w:rsid w:val="00871ED9"/>
    <w:rsid w:val="00872F42"/>
    <w:rsid w:val="008742FC"/>
    <w:rsid w:val="00882C0E"/>
    <w:rsid w:val="008846FB"/>
    <w:rsid w:val="00884FFB"/>
    <w:rsid w:val="00885F75"/>
    <w:rsid w:val="00890481"/>
    <w:rsid w:val="00890FEF"/>
    <w:rsid w:val="00892795"/>
    <w:rsid w:val="00893F4C"/>
    <w:rsid w:val="00894E78"/>
    <w:rsid w:val="008A4C52"/>
    <w:rsid w:val="008A5539"/>
    <w:rsid w:val="008A61FB"/>
    <w:rsid w:val="008A6FD6"/>
    <w:rsid w:val="008A7125"/>
    <w:rsid w:val="008B3DED"/>
    <w:rsid w:val="008B4CA9"/>
    <w:rsid w:val="008C1864"/>
    <w:rsid w:val="008C31A2"/>
    <w:rsid w:val="008C6CAD"/>
    <w:rsid w:val="008D3391"/>
    <w:rsid w:val="008D57E4"/>
    <w:rsid w:val="008D65F5"/>
    <w:rsid w:val="008D7EF0"/>
    <w:rsid w:val="008E1E17"/>
    <w:rsid w:val="008E36CE"/>
    <w:rsid w:val="008E5F8D"/>
    <w:rsid w:val="008E77B1"/>
    <w:rsid w:val="008F2C86"/>
    <w:rsid w:val="008F668C"/>
    <w:rsid w:val="009023F8"/>
    <w:rsid w:val="0090318A"/>
    <w:rsid w:val="00904532"/>
    <w:rsid w:val="00904C07"/>
    <w:rsid w:val="009055DC"/>
    <w:rsid w:val="00906595"/>
    <w:rsid w:val="0090666E"/>
    <w:rsid w:val="0091147F"/>
    <w:rsid w:val="0091547F"/>
    <w:rsid w:val="00916650"/>
    <w:rsid w:val="00916DB0"/>
    <w:rsid w:val="00920DC9"/>
    <w:rsid w:val="0092100A"/>
    <w:rsid w:val="00921CCA"/>
    <w:rsid w:val="00922443"/>
    <w:rsid w:val="009250C2"/>
    <w:rsid w:val="00925BB5"/>
    <w:rsid w:val="00927939"/>
    <w:rsid w:val="00930C8A"/>
    <w:rsid w:val="009313F7"/>
    <w:rsid w:val="009377DA"/>
    <w:rsid w:val="00937A5F"/>
    <w:rsid w:val="00937D34"/>
    <w:rsid w:val="0094026C"/>
    <w:rsid w:val="009406D8"/>
    <w:rsid w:val="0094193E"/>
    <w:rsid w:val="00941D40"/>
    <w:rsid w:val="0094367D"/>
    <w:rsid w:val="0094402A"/>
    <w:rsid w:val="00944210"/>
    <w:rsid w:val="00944E73"/>
    <w:rsid w:val="00945066"/>
    <w:rsid w:val="009455D5"/>
    <w:rsid w:val="009515B9"/>
    <w:rsid w:val="00953609"/>
    <w:rsid w:val="00957917"/>
    <w:rsid w:val="009613CA"/>
    <w:rsid w:val="0096588D"/>
    <w:rsid w:val="00970509"/>
    <w:rsid w:val="009727A2"/>
    <w:rsid w:val="00973981"/>
    <w:rsid w:val="00976999"/>
    <w:rsid w:val="00987BAA"/>
    <w:rsid w:val="00987FA9"/>
    <w:rsid w:val="009903AA"/>
    <w:rsid w:val="00990F73"/>
    <w:rsid w:val="0099413C"/>
    <w:rsid w:val="00994CD4"/>
    <w:rsid w:val="009957CA"/>
    <w:rsid w:val="009A0840"/>
    <w:rsid w:val="009A1B92"/>
    <w:rsid w:val="009A1CEE"/>
    <w:rsid w:val="009A220E"/>
    <w:rsid w:val="009A51C2"/>
    <w:rsid w:val="009A70A6"/>
    <w:rsid w:val="009B0614"/>
    <w:rsid w:val="009B1C4A"/>
    <w:rsid w:val="009B1D9C"/>
    <w:rsid w:val="009B2562"/>
    <w:rsid w:val="009B2DD4"/>
    <w:rsid w:val="009B4396"/>
    <w:rsid w:val="009B54A4"/>
    <w:rsid w:val="009B5BB2"/>
    <w:rsid w:val="009B7D4B"/>
    <w:rsid w:val="009C07B5"/>
    <w:rsid w:val="009C16E7"/>
    <w:rsid w:val="009C2ED7"/>
    <w:rsid w:val="009C4211"/>
    <w:rsid w:val="009C48ED"/>
    <w:rsid w:val="009C51DD"/>
    <w:rsid w:val="009C56D1"/>
    <w:rsid w:val="009C64AC"/>
    <w:rsid w:val="009C7604"/>
    <w:rsid w:val="009D54FA"/>
    <w:rsid w:val="009D61E4"/>
    <w:rsid w:val="009E134C"/>
    <w:rsid w:val="009E2EC1"/>
    <w:rsid w:val="009E35DD"/>
    <w:rsid w:val="009E3F33"/>
    <w:rsid w:val="009E531C"/>
    <w:rsid w:val="009E6131"/>
    <w:rsid w:val="009F1398"/>
    <w:rsid w:val="009F3676"/>
    <w:rsid w:val="009F408D"/>
    <w:rsid w:val="009F48BA"/>
    <w:rsid w:val="009F5DF6"/>
    <w:rsid w:val="009F6317"/>
    <w:rsid w:val="00A02528"/>
    <w:rsid w:val="00A028C0"/>
    <w:rsid w:val="00A04317"/>
    <w:rsid w:val="00A064F6"/>
    <w:rsid w:val="00A0666A"/>
    <w:rsid w:val="00A116C4"/>
    <w:rsid w:val="00A11807"/>
    <w:rsid w:val="00A12FF2"/>
    <w:rsid w:val="00A13145"/>
    <w:rsid w:val="00A22A68"/>
    <w:rsid w:val="00A22F90"/>
    <w:rsid w:val="00A24ECD"/>
    <w:rsid w:val="00A25798"/>
    <w:rsid w:val="00A26A67"/>
    <w:rsid w:val="00A26ECA"/>
    <w:rsid w:val="00A30FE7"/>
    <w:rsid w:val="00A31EE7"/>
    <w:rsid w:val="00A324AA"/>
    <w:rsid w:val="00A35C31"/>
    <w:rsid w:val="00A36C29"/>
    <w:rsid w:val="00A37D1D"/>
    <w:rsid w:val="00A40C33"/>
    <w:rsid w:val="00A415E5"/>
    <w:rsid w:val="00A4490E"/>
    <w:rsid w:val="00A461D7"/>
    <w:rsid w:val="00A50BA0"/>
    <w:rsid w:val="00A51420"/>
    <w:rsid w:val="00A52722"/>
    <w:rsid w:val="00A531A9"/>
    <w:rsid w:val="00A53CD4"/>
    <w:rsid w:val="00A54629"/>
    <w:rsid w:val="00A54E75"/>
    <w:rsid w:val="00A6151E"/>
    <w:rsid w:val="00A61FE3"/>
    <w:rsid w:val="00A67D08"/>
    <w:rsid w:val="00A70D5E"/>
    <w:rsid w:val="00A7145D"/>
    <w:rsid w:val="00A716E8"/>
    <w:rsid w:val="00A74081"/>
    <w:rsid w:val="00A75473"/>
    <w:rsid w:val="00A80851"/>
    <w:rsid w:val="00A8115C"/>
    <w:rsid w:val="00A82B30"/>
    <w:rsid w:val="00A84120"/>
    <w:rsid w:val="00A86108"/>
    <w:rsid w:val="00A926A7"/>
    <w:rsid w:val="00A9791A"/>
    <w:rsid w:val="00AA697E"/>
    <w:rsid w:val="00AB02A6"/>
    <w:rsid w:val="00AB2BDD"/>
    <w:rsid w:val="00AB3EEC"/>
    <w:rsid w:val="00AB6B79"/>
    <w:rsid w:val="00AC001F"/>
    <w:rsid w:val="00AC1F5E"/>
    <w:rsid w:val="00AC258A"/>
    <w:rsid w:val="00AC41F3"/>
    <w:rsid w:val="00AC5A05"/>
    <w:rsid w:val="00AC6C00"/>
    <w:rsid w:val="00AD025A"/>
    <w:rsid w:val="00AD5838"/>
    <w:rsid w:val="00AE191C"/>
    <w:rsid w:val="00AE2975"/>
    <w:rsid w:val="00AE3B14"/>
    <w:rsid w:val="00AE5028"/>
    <w:rsid w:val="00AE5625"/>
    <w:rsid w:val="00AE567E"/>
    <w:rsid w:val="00AE6C87"/>
    <w:rsid w:val="00AF212B"/>
    <w:rsid w:val="00AF3FDF"/>
    <w:rsid w:val="00B01599"/>
    <w:rsid w:val="00B0195F"/>
    <w:rsid w:val="00B03B0B"/>
    <w:rsid w:val="00B07692"/>
    <w:rsid w:val="00B12CA7"/>
    <w:rsid w:val="00B13A78"/>
    <w:rsid w:val="00B155F4"/>
    <w:rsid w:val="00B20902"/>
    <w:rsid w:val="00B24EC0"/>
    <w:rsid w:val="00B2704C"/>
    <w:rsid w:val="00B30B39"/>
    <w:rsid w:val="00B35B66"/>
    <w:rsid w:val="00B4023D"/>
    <w:rsid w:val="00B45213"/>
    <w:rsid w:val="00B46339"/>
    <w:rsid w:val="00B46A5D"/>
    <w:rsid w:val="00B50113"/>
    <w:rsid w:val="00B50710"/>
    <w:rsid w:val="00B515D0"/>
    <w:rsid w:val="00B52564"/>
    <w:rsid w:val="00B5307A"/>
    <w:rsid w:val="00B5372B"/>
    <w:rsid w:val="00B5580C"/>
    <w:rsid w:val="00B55F83"/>
    <w:rsid w:val="00B57247"/>
    <w:rsid w:val="00B57FF8"/>
    <w:rsid w:val="00B619B7"/>
    <w:rsid w:val="00B632D4"/>
    <w:rsid w:val="00B6336D"/>
    <w:rsid w:val="00B635F5"/>
    <w:rsid w:val="00B64537"/>
    <w:rsid w:val="00B64AA9"/>
    <w:rsid w:val="00B66213"/>
    <w:rsid w:val="00B70A3A"/>
    <w:rsid w:val="00B71905"/>
    <w:rsid w:val="00B7208A"/>
    <w:rsid w:val="00B72BA4"/>
    <w:rsid w:val="00B73070"/>
    <w:rsid w:val="00B73463"/>
    <w:rsid w:val="00B7532D"/>
    <w:rsid w:val="00B756D4"/>
    <w:rsid w:val="00B8208F"/>
    <w:rsid w:val="00B834A1"/>
    <w:rsid w:val="00B834EA"/>
    <w:rsid w:val="00B84ACB"/>
    <w:rsid w:val="00B925FB"/>
    <w:rsid w:val="00BA019A"/>
    <w:rsid w:val="00BA0501"/>
    <w:rsid w:val="00BA1AB4"/>
    <w:rsid w:val="00BA20A7"/>
    <w:rsid w:val="00BA24AF"/>
    <w:rsid w:val="00BA2A12"/>
    <w:rsid w:val="00BA4CFA"/>
    <w:rsid w:val="00BB52DC"/>
    <w:rsid w:val="00BB604C"/>
    <w:rsid w:val="00BB67F8"/>
    <w:rsid w:val="00BC04DC"/>
    <w:rsid w:val="00BC3A29"/>
    <w:rsid w:val="00BC5054"/>
    <w:rsid w:val="00BC5283"/>
    <w:rsid w:val="00BC539F"/>
    <w:rsid w:val="00BC57AF"/>
    <w:rsid w:val="00BC612A"/>
    <w:rsid w:val="00BC66F7"/>
    <w:rsid w:val="00BC7A0B"/>
    <w:rsid w:val="00BD12C4"/>
    <w:rsid w:val="00BD18EE"/>
    <w:rsid w:val="00BD1A39"/>
    <w:rsid w:val="00BD1C13"/>
    <w:rsid w:val="00BD20F3"/>
    <w:rsid w:val="00BD5FB0"/>
    <w:rsid w:val="00BD6CE8"/>
    <w:rsid w:val="00BE10B7"/>
    <w:rsid w:val="00BE300B"/>
    <w:rsid w:val="00BE355F"/>
    <w:rsid w:val="00BE35BE"/>
    <w:rsid w:val="00BE3E46"/>
    <w:rsid w:val="00BE4E57"/>
    <w:rsid w:val="00BE4FE9"/>
    <w:rsid w:val="00BE569C"/>
    <w:rsid w:val="00BE5ED5"/>
    <w:rsid w:val="00BE673C"/>
    <w:rsid w:val="00BF1310"/>
    <w:rsid w:val="00BF386F"/>
    <w:rsid w:val="00BF4D7F"/>
    <w:rsid w:val="00C01FE4"/>
    <w:rsid w:val="00C0218D"/>
    <w:rsid w:val="00C05FE3"/>
    <w:rsid w:val="00C07AA2"/>
    <w:rsid w:val="00C106D5"/>
    <w:rsid w:val="00C11041"/>
    <w:rsid w:val="00C13B45"/>
    <w:rsid w:val="00C20D01"/>
    <w:rsid w:val="00C233FE"/>
    <w:rsid w:val="00C24875"/>
    <w:rsid w:val="00C2706E"/>
    <w:rsid w:val="00C343C8"/>
    <w:rsid w:val="00C42174"/>
    <w:rsid w:val="00C43EC8"/>
    <w:rsid w:val="00C4499F"/>
    <w:rsid w:val="00C460C0"/>
    <w:rsid w:val="00C5118F"/>
    <w:rsid w:val="00C5393C"/>
    <w:rsid w:val="00C566C2"/>
    <w:rsid w:val="00C624A0"/>
    <w:rsid w:val="00C6641C"/>
    <w:rsid w:val="00C67DBC"/>
    <w:rsid w:val="00C70582"/>
    <w:rsid w:val="00C70BAA"/>
    <w:rsid w:val="00C70DE8"/>
    <w:rsid w:val="00C72149"/>
    <w:rsid w:val="00C74DD1"/>
    <w:rsid w:val="00C761E2"/>
    <w:rsid w:val="00C80D34"/>
    <w:rsid w:val="00C81052"/>
    <w:rsid w:val="00C82EF6"/>
    <w:rsid w:val="00C85EAE"/>
    <w:rsid w:val="00C910DB"/>
    <w:rsid w:val="00C91E8D"/>
    <w:rsid w:val="00C94471"/>
    <w:rsid w:val="00C96438"/>
    <w:rsid w:val="00CA2025"/>
    <w:rsid w:val="00CB0FC5"/>
    <w:rsid w:val="00CB77DA"/>
    <w:rsid w:val="00CC22B7"/>
    <w:rsid w:val="00CC22C5"/>
    <w:rsid w:val="00CC44CC"/>
    <w:rsid w:val="00CC4B63"/>
    <w:rsid w:val="00CC788C"/>
    <w:rsid w:val="00CD11AF"/>
    <w:rsid w:val="00CD2445"/>
    <w:rsid w:val="00CD479F"/>
    <w:rsid w:val="00CD495A"/>
    <w:rsid w:val="00CD5EEC"/>
    <w:rsid w:val="00CD73C2"/>
    <w:rsid w:val="00CD7BF7"/>
    <w:rsid w:val="00CD7DB4"/>
    <w:rsid w:val="00CE36FF"/>
    <w:rsid w:val="00CE3ACB"/>
    <w:rsid w:val="00CE3B02"/>
    <w:rsid w:val="00CE57CB"/>
    <w:rsid w:val="00CE62F3"/>
    <w:rsid w:val="00CF224A"/>
    <w:rsid w:val="00CF22CE"/>
    <w:rsid w:val="00CF31D6"/>
    <w:rsid w:val="00CF59F9"/>
    <w:rsid w:val="00CF6CF8"/>
    <w:rsid w:val="00D02273"/>
    <w:rsid w:val="00D02E39"/>
    <w:rsid w:val="00D03BFC"/>
    <w:rsid w:val="00D04911"/>
    <w:rsid w:val="00D06EB1"/>
    <w:rsid w:val="00D07A85"/>
    <w:rsid w:val="00D11806"/>
    <w:rsid w:val="00D13F7F"/>
    <w:rsid w:val="00D16F17"/>
    <w:rsid w:val="00D2016C"/>
    <w:rsid w:val="00D21323"/>
    <w:rsid w:val="00D21C42"/>
    <w:rsid w:val="00D2434F"/>
    <w:rsid w:val="00D30D3D"/>
    <w:rsid w:val="00D315CB"/>
    <w:rsid w:val="00D319EB"/>
    <w:rsid w:val="00D31AC6"/>
    <w:rsid w:val="00D32439"/>
    <w:rsid w:val="00D33C25"/>
    <w:rsid w:val="00D33FF3"/>
    <w:rsid w:val="00D36E12"/>
    <w:rsid w:val="00D377EB"/>
    <w:rsid w:val="00D40C1A"/>
    <w:rsid w:val="00D43343"/>
    <w:rsid w:val="00D434AB"/>
    <w:rsid w:val="00D441CF"/>
    <w:rsid w:val="00D468B9"/>
    <w:rsid w:val="00D53B6E"/>
    <w:rsid w:val="00D6145C"/>
    <w:rsid w:val="00D63E57"/>
    <w:rsid w:val="00D65815"/>
    <w:rsid w:val="00D72E32"/>
    <w:rsid w:val="00D7384A"/>
    <w:rsid w:val="00D738FD"/>
    <w:rsid w:val="00D75A10"/>
    <w:rsid w:val="00D76070"/>
    <w:rsid w:val="00D7627E"/>
    <w:rsid w:val="00D77A89"/>
    <w:rsid w:val="00D81DD1"/>
    <w:rsid w:val="00D84652"/>
    <w:rsid w:val="00D856FC"/>
    <w:rsid w:val="00D905B6"/>
    <w:rsid w:val="00D95FD1"/>
    <w:rsid w:val="00D96331"/>
    <w:rsid w:val="00D97085"/>
    <w:rsid w:val="00DA06F8"/>
    <w:rsid w:val="00DA4250"/>
    <w:rsid w:val="00DA493C"/>
    <w:rsid w:val="00DA63B1"/>
    <w:rsid w:val="00DB1039"/>
    <w:rsid w:val="00DB3C8E"/>
    <w:rsid w:val="00DC1D7D"/>
    <w:rsid w:val="00DC2146"/>
    <w:rsid w:val="00DC3412"/>
    <w:rsid w:val="00DC5962"/>
    <w:rsid w:val="00DC5C99"/>
    <w:rsid w:val="00DC6C3B"/>
    <w:rsid w:val="00DC7699"/>
    <w:rsid w:val="00DC7E36"/>
    <w:rsid w:val="00DD0CC8"/>
    <w:rsid w:val="00DD19FB"/>
    <w:rsid w:val="00DD2917"/>
    <w:rsid w:val="00DD35D8"/>
    <w:rsid w:val="00DD4691"/>
    <w:rsid w:val="00DD6DE4"/>
    <w:rsid w:val="00DD6EBF"/>
    <w:rsid w:val="00DE0EB0"/>
    <w:rsid w:val="00DE1190"/>
    <w:rsid w:val="00DE27FE"/>
    <w:rsid w:val="00DE2A40"/>
    <w:rsid w:val="00DE2A77"/>
    <w:rsid w:val="00DE2E08"/>
    <w:rsid w:val="00DF0106"/>
    <w:rsid w:val="00DF44B9"/>
    <w:rsid w:val="00DF6032"/>
    <w:rsid w:val="00DF7280"/>
    <w:rsid w:val="00E00310"/>
    <w:rsid w:val="00E00783"/>
    <w:rsid w:val="00E00AF8"/>
    <w:rsid w:val="00E1041D"/>
    <w:rsid w:val="00E12055"/>
    <w:rsid w:val="00E14DDE"/>
    <w:rsid w:val="00E1556D"/>
    <w:rsid w:val="00E15ACB"/>
    <w:rsid w:val="00E15B67"/>
    <w:rsid w:val="00E1608D"/>
    <w:rsid w:val="00E161AC"/>
    <w:rsid w:val="00E202A7"/>
    <w:rsid w:val="00E228DD"/>
    <w:rsid w:val="00E23BD8"/>
    <w:rsid w:val="00E2509F"/>
    <w:rsid w:val="00E258A1"/>
    <w:rsid w:val="00E33CE6"/>
    <w:rsid w:val="00E35712"/>
    <w:rsid w:val="00E429CD"/>
    <w:rsid w:val="00E508CC"/>
    <w:rsid w:val="00E53B24"/>
    <w:rsid w:val="00E55291"/>
    <w:rsid w:val="00E55F4A"/>
    <w:rsid w:val="00E56A0D"/>
    <w:rsid w:val="00E56C62"/>
    <w:rsid w:val="00E5702D"/>
    <w:rsid w:val="00E575BA"/>
    <w:rsid w:val="00E57E84"/>
    <w:rsid w:val="00E603A2"/>
    <w:rsid w:val="00E603C6"/>
    <w:rsid w:val="00E62659"/>
    <w:rsid w:val="00E63A84"/>
    <w:rsid w:val="00E6459B"/>
    <w:rsid w:val="00E749FE"/>
    <w:rsid w:val="00E81DD9"/>
    <w:rsid w:val="00E826B9"/>
    <w:rsid w:val="00E83018"/>
    <w:rsid w:val="00E847B4"/>
    <w:rsid w:val="00E876B5"/>
    <w:rsid w:val="00E87D68"/>
    <w:rsid w:val="00E907C8"/>
    <w:rsid w:val="00E90930"/>
    <w:rsid w:val="00E90F31"/>
    <w:rsid w:val="00E93B27"/>
    <w:rsid w:val="00E9601B"/>
    <w:rsid w:val="00EA2066"/>
    <w:rsid w:val="00EA207B"/>
    <w:rsid w:val="00EA56D5"/>
    <w:rsid w:val="00EB17CF"/>
    <w:rsid w:val="00EB1813"/>
    <w:rsid w:val="00EB19FB"/>
    <w:rsid w:val="00EB5DC0"/>
    <w:rsid w:val="00EB5FBA"/>
    <w:rsid w:val="00EB73D5"/>
    <w:rsid w:val="00EC0ADD"/>
    <w:rsid w:val="00EC2348"/>
    <w:rsid w:val="00EC3296"/>
    <w:rsid w:val="00EC4160"/>
    <w:rsid w:val="00EC4626"/>
    <w:rsid w:val="00EC4733"/>
    <w:rsid w:val="00EC57CC"/>
    <w:rsid w:val="00EC5802"/>
    <w:rsid w:val="00EC66C9"/>
    <w:rsid w:val="00ED0303"/>
    <w:rsid w:val="00ED4756"/>
    <w:rsid w:val="00EE2CCA"/>
    <w:rsid w:val="00EE2F50"/>
    <w:rsid w:val="00EE3892"/>
    <w:rsid w:val="00EE691E"/>
    <w:rsid w:val="00EF2199"/>
    <w:rsid w:val="00EF395D"/>
    <w:rsid w:val="00EF7C81"/>
    <w:rsid w:val="00F078A3"/>
    <w:rsid w:val="00F10D49"/>
    <w:rsid w:val="00F14F25"/>
    <w:rsid w:val="00F16946"/>
    <w:rsid w:val="00F1738E"/>
    <w:rsid w:val="00F17642"/>
    <w:rsid w:val="00F218AD"/>
    <w:rsid w:val="00F23B03"/>
    <w:rsid w:val="00F2478E"/>
    <w:rsid w:val="00F2675B"/>
    <w:rsid w:val="00F33D49"/>
    <w:rsid w:val="00F35474"/>
    <w:rsid w:val="00F3597F"/>
    <w:rsid w:val="00F35AAA"/>
    <w:rsid w:val="00F35C79"/>
    <w:rsid w:val="00F36912"/>
    <w:rsid w:val="00F36A6B"/>
    <w:rsid w:val="00F372FB"/>
    <w:rsid w:val="00F374D6"/>
    <w:rsid w:val="00F4573D"/>
    <w:rsid w:val="00F45F5F"/>
    <w:rsid w:val="00F469DF"/>
    <w:rsid w:val="00F508BD"/>
    <w:rsid w:val="00F52D6C"/>
    <w:rsid w:val="00F5332D"/>
    <w:rsid w:val="00F54034"/>
    <w:rsid w:val="00F55061"/>
    <w:rsid w:val="00F574AA"/>
    <w:rsid w:val="00F60259"/>
    <w:rsid w:val="00F602CF"/>
    <w:rsid w:val="00F6297B"/>
    <w:rsid w:val="00F62ED7"/>
    <w:rsid w:val="00F652F4"/>
    <w:rsid w:val="00F65482"/>
    <w:rsid w:val="00F66DEA"/>
    <w:rsid w:val="00F66F19"/>
    <w:rsid w:val="00F6764C"/>
    <w:rsid w:val="00F70E5C"/>
    <w:rsid w:val="00F70EC2"/>
    <w:rsid w:val="00F74529"/>
    <w:rsid w:val="00F748B5"/>
    <w:rsid w:val="00F808B9"/>
    <w:rsid w:val="00F80F52"/>
    <w:rsid w:val="00F91112"/>
    <w:rsid w:val="00F91435"/>
    <w:rsid w:val="00F91B6A"/>
    <w:rsid w:val="00F950D7"/>
    <w:rsid w:val="00F95F0E"/>
    <w:rsid w:val="00F965EC"/>
    <w:rsid w:val="00F96729"/>
    <w:rsid w:val="00F97696"/>
    <w:rsid w:val="00F9773D"/>
    <w:rsid w:val="00FA4400"/>
    <w:rsid w:val="00FA6EB3"/>
    <w:rsid w:val="00FB300F"/>
    <w:rsid w:val="00FB32D6"/>
    <w:rsid w:val="00FB42AF"/>
    <w:rsid w:val="00FB5F20"/>
    <w:rsid w:val="00FC15E2"/>
    <w:rsid w:val="00FC35AD"/>
    <w:rsid w:val="00FC54BE"/>
    <w:rsid w:val="00FC6520"/>
    <w:rsid w:val="00FD47CF"/>
    <w:rsid w:val="00FD66EC"/>
    <w:rsid w:val="00FD7429"/>
    <w:rsid w:val="00FD75CE"/>
    <w:rsid w:val="00FE075A"/>
    <w:rsid w:val="00FE2DBA"/>
    <w:rsid w:val="00FE31B3"/>
    <w:rsid w:val="00FE5EDC"/>
    <w:rsid w:val="00FE6FED"/>
    <w:rsid w:val="00FE7273"/>
    <w:rsid w:val="00FF32B1"/>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1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17"/>
    <w:pPr>
      <w:spacing w:after="0" w:line="240" w:lineRule="auto"/>
    </w:pPr>
    <w:rPr>
      <w:rFonts w:ascii="CG Times (W1)" w:eastAsia="Times New Roman" w:hAnsi="CG Times (W1)" w:cs="Times New Roman"/>
      <w:b/>
      <w:sz w:val="24"/>
      <w:szCs w:val="20"/>
    </w:rPr>
  </w:style>
  <w:style w:type="paragraph" w:styleId="Heading1">
    <w:name w:val="heading 1"/>
    <w:basedOn w:val="Normal"/>
    <w:next w:val="Normal"/>
    <w:link w:val="Heading1Char"/>
    <w:uiPriority w:val="9"/>
    <w:qFormat/>
    <w:rsid w:val="00F60259"/>
    <w:pPr>
      <w:keepNext/>
      <w:outlineLvl w:val="0"/>
    </w:pPr>
    <w:rPr>
      <w:rFonts w:asciiTheme="majorHAnsi" w:hAnsiTheme="majorHAns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417"/>
    <w:pPr>
      <w:spacing w:after="0" w:line="240" w:lineRule="auto"/>
    </w:pPr>
  </w:style>
  <w:style w:type="paragraph" w:styleId="NormalWeb">
    <w:name w:val="Normal (Web)"/>
    <w:basedOn w:val="Normal"/>
    <w:uiPriority w:val="99"/>
    <w:semiHidden/>
    <w:unhideWhenUsed/>
    <w:rsid w:val="00F4573D"/>
    <w:pPr>
      <w:spacing w:after="240"/>
    </w:pPr>
    <w:rPr>
      <w:rFonts w:ascii="Times New Roman" w:hAnsi="Times New Roman"/>
      <w:b w:val="0"/>
      <w:szCs w:val="24"/>
    </w:rPr>
  </w:style>
  <w:style w:type="paragraph" w:styleId="Header">
    <w:name w:val="header"/>
    <w:basedOn w:val="Normal"/>
    <w:link w:val="HeaderChar"/>
    <w:uiPriority w:val="99"/>
    <w:unhideWhenUsed/>
    <w:rsid w:val="009B7D4B"/>
    <w:pPr>
      <w:tabs>
        <w:tab w:val="center" w:pos="4680"/>
        <w:tab w:val="right" w:pos="9360"/>
      </w:tabs>
    </w:pPr>
  </w:style>
  <w:style w:type="character" w:customStyle="1" w:styleId="HeaderChar">
    <w:name w:val="Header Char"/>
    <w:basedOn w:val="DefaultParagraphFont"/>
    <w:link w:val="Header"/>
    <w:uiPriority w:val="99"/>
    <w:rsid w:val="009B7D4B"/>
    <w:rPr>
      <w:rFonts w:ascii="CG Times (W1)" w:eastAsia="Times New Roman" w:hAnsi="CG Times (W1)" w:cs="Times New Roman"/>
      <w:b/>
      <w:sz w:val="24"/>
      <w:szCs w:val="20"/>
    </w:rPr>
  </w:style>
  <w:style w:type="paragraph" w:styleId="Footer">
    <w:name w:val="footer"/>
    <w:basedOn w:val="Normal"/>
    <w:link w:val="FooterChar"/>
    <w:uiPriority w:val="99"/>
    <w:unhideWhenUsed/>
    <w:rsid w:val="009B7D4B"/>
    <w:pPr>
      <w:tabs>
        <w:tab w:val="center" w:pos="4680"/>
        <w:tab w:val="right" w:pos="9360"/>
      </w:tabs>
    </w:pPr>
  </w:style>
  <w:style w:type="character" w:customStyle="1" w:styleId="FooterChar">
    <w:name w:val="Footer Char"/>
    <w:basedOn w:val="DefaultParagraphFont"/>
    <w:link w:val="Footer"/>
    <w:uiPriority w:val="99"/>
    <w:rsid w:val="009B7D4B"/>
    <w:rPr>
      <w:rFonts w:ascii="CG Times (W1)" w:eastAsia="Times New Roman" w:hAnsi="CG Times (W1)" w:cs="Times New Roman"/>
      <w:b/>
      <w:sz w:val="24"/>
      <w:szCs w:val="20"/>
    </w:rPr>
  </w:style>
  <w:style w:type="paragraph" w:styleId="PlainText">
    <w:name w:val="Plain Text"/>
    <w:basedOn w:val="Normal"/>
    <w:link w:val="PlainTextChar"/>
    <w:unhideWhenUsed/>
    <w:rsid w:val="00004983"/>
    <w:rPr>
      <w:rFonts w:ascii="Consolas" w:eastAsiaTheme="minorHAnsi" w:hAnsi="Consolas" w:cstheme="minorBidi"/>
      <w:b w:val="0"/>
      <w:sz w:val="21"/>
      <w:szCs w:val="21"/>
    </w:rPr>
  </w:style>
  <w:style w:type="character" w:customStyle="1" w:styleId="PlainTextChar">
    <w:name w:val="Plain Text Char"/>
    <w:basedOn w:val="DefaultParagraphFont"/>
    <w:link w:val="PlainText"/>
    <w:uiPriority w:val="99"/>
    <w:rsid w:val="00004983"/>
    <w:rPr>
      <w:rFonts w:ascii="Consolas" w:hAnsi="Consolas"/>
      <w:sz w:val="21"/>
      <w:szCs w:val="21"/>
    </w:rPr>
  </w:style>
  <w:style w:type="character" w:customStyle="1" w:styleId="Heading1Char">
    <w:name w:val="Heading 1 Char"/>
    <w:basedOn w:val="DefaultParagraphFont"/>
    <w:link w:val="Heading1"/>
    <w:uiPriority w:val="9"/>
    <w:rsid w:val="00F60259"/>
    <w:rPr>
      <w:rFonts w:asciiTheme="majorHAnsi" w:eastAsia="Times New Roman" w:hAnsiTheme="majorHAnsi" w:cs="Times New Roman"/>
      <w:b/>
      <w:color w:val="365F91" w:themeColor="accent1" w:themeShade="BF"/>
      <w:sz w:val="28"/>
      <w:szCs w:val="28"/>
    </w:rPr>
  </w:style>
  <w:style w:type="paragraph" w:styleId="ListParagraph">
    <w:name w:val="List Paragraph"/>
    <w:basedOn w:val="Normal"/>
    <w:uiPriority w:val="34"/>
    <w:qFormat/>
    <w:rsid w:val="000D4762"/>
    <w:pPr>
      <w:ind w:left="720"/>
      <w:contextualSpacing/>
    </w:pPr>
    <w:rPr>
      <w:rFonts w:asciiTheme="minorHAnsi" w:eastAsiaTheme="minorHAnsi" w:hAnsiTheme="minorHAnsi"/>
      <w:b w:val="0"/>
      <w:szCs w:val="24"/>
    </w:rPr>
  </w:style>
  <w:style w:type="character" w:styleId="CommentReference">
    <w:name w:val="annotation reference"/>
    <w:basedOn w:val="DefaultParagraphFont"/>
    <w:uiPriority w:val="99"/>
    <w:semiHidden/>
    <w:unhideWhenUsed/>
    <w:rsid w:val="00763157"/>
    <w:rPr>
      <w:sz w:val="16"/>
      <w:szCs w:val="16"/>
    </w:rPr>
  </w:style>
  <w:style w:type="paragraph" w:styleId="CommentText">
    <w:name w:val="annotation text"/>
    <w:basedOn w:val="Normal"/>
    <w:link w:val="CommentTextChar"/>
    <w:uiPriority w:val="99"/>
    <w:unhideWhenUsed/>
    <w:rsid w:val="00763157"/>
    <w:rPr>
      <w:sz w:val="20"/>
    </w:rPr>
  </w:style>
  <w:style w:type="character" w:customStyle="1" w:styleId="CommentTextChar">
    <w:name w:val="Comment Text Char"/>
    <w:basedOn w:val="DefaultParagraphFont"/>
    <w:link w:val="CommentText"/>
    <w:uiPriority w:val="99"/>
    <w:rsid w:val="00763157"/>
    <w:rPr>
      <w:rFonts w:ascii="CG Times (W1)" w:eastAsia="Times New Roman" w:hAnsi="CG Times (W1)" w:cs="Times New Roman"/>
      <w:b/>
      <w:sz w:val="20"/>
      <w:szCs w:val="20"/>
    </w:rPr>
  </w:style>
  <w:style w:type="paragraph" w:styleId="CommentSubject">
    <w:name w:val="annotation subject"/>
    <w:basedOn w:val="CommentText"/>
    <w:next w:val="CommentText"/>
    <w:link w:val="CommentSubjectChar"/>
    <w:uiPriority w:val="99"/>
    <w:semiHidden/>
    <w:unhideWhenUsed/>
    <w:rsid w:val="00763157"/>
    <w:rPr>
      <w:bCs/>
    </w:rPr>
  </w:style>
  <w:style w:type="character" w:customStyle="1" w:styleId="CommentSubjectChar">
    <w:name w:val="Comment Subject Char"/>
    <w:basedOn w:val="CommentTextChar"/>
    <w:link w:val="CommentSubject"/>
    <w:uiPriority w:val="99"/>
    <w:semiHidden/>
    <w:rsid w:val="00763157"/>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763157"/>
    <w:rPr>
      <w:rFonts w:ascii="Tahoma" w:hAnsi="Tahoma" w:cs="Tahoma"/>
      <w:sz w:val="16"/>
      <w:szCs w:val="16"/>
    </w:rPr>
  </w:style>
  <w:style w:type="character" w:customStyle="1" w:styleId="BalloonTextChar">
    <w:name w:val="Balloon Text Char"/>
    <w:basedOn w:val="DefaultParagraphFont"/>
    <w:link w:val="BalloonText"/>
    <w:uiPriority w:val="99"/>
    <w:semiHidden/>
    <w:rsid w:val="00763157"/>
    <w:rPr>
      <w:rFonts w:ascii="Tahoma" w:eastAsia="Times New Roman" w:hAnsi="Tahoma" w:cs="Tahoma"/>
      <w:b/>
      <w:sz w:val="16"/>
      <w:szCs w:val="16"/>
    </w:rPr>
  </w:style>
  <w:style w:type="table" w:styleId="TableGrid">
    <w:name w:val="Table Grid"/>
    <w:basedOn w:val="TableNormal"/>
    <w:uiPriority w:val="59"/>
    <w:rsid w:val="0006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C41"/>
    <w:rPr>
      <w:color w:val="0000FF" w:themeColor="hyperlink"/>
      <w:u w:val="single"/>
    </w:rPr>
  </w:style>
  <w:style w:type="character" w:styleId="FollowedHyperlink">
    <w:name w:val="FollowedHyperlink"/>
    <w:basedOn w:val="DefaultParagraphFont"/>
    <w:uiPriority w:val="99"/>
    <w:semiHidden/>
    <w:unhideWhenUsed/>
    <w:rsid w:val="00AB2BDD"/>
    <w:rPr>
      <w:color w:val="800080" w:themeColor="followedHyperlink"/>
      <w:u w:val="single"/>
    </w:rPr>
  </w:style>
  <w:style w:type="paragraph" w:customStyle="1" w:styleId="Default">
    <w:name w:val="Default"/>
    <w:rsid w:val="00BE4FE9"/>
    <w:pPr>
      <w:autoSpaceDE w:val="0"/>
      <w:autoSpaceDN w:val="0"/>
      <w:adjustRightInd w:val="0"/>
      <w:spacing w:after="0" w:line="240" w:lineRule="auto"/>
    </w:pPr>
    <w:rPr>
      <w:rFonts w:ascii="Calibri" w:hAnsi="Calibri" w:cs="Calibri"/>
      <w:color w:val="000000"/>
      <w:sz w:val="24"/>
      <w:szCs w:val="24"/>
    </w:rPr>
  </w:style>
  <w:style w:type="paragraph" w:customStyle="1" w:styleId="TableContents">
    <w:name w:val="Table Contents"/>
    <w:basedOn w:val="Normal"/>
    <w:rsid w:val="00690A80"/>
    <w:pPr>
      <w:suppressLineNumbers/>
      <w:suppressAutoHyphens/>
      <w:autoSpaceDN w:val="0"/>
      <w:textAlignment w:val="baseline"/>
    </w:pPr>
    <w:rPr>
      <w:rFonts w:ascii="Times New Roman" w:eastAsia="Arial Unicode MS" w:hAnsi="Times New Roman" w:cs="Arial Unicode MS"/>
      <w:b w:val="0"/>
      <w:kern w:val="3"/>
      <w:szCs w:val="24"/>
      <w:lang w:eastAsia="zh-CN" w:bidi="hi-IN"/>
    </w:rPr>
  </w:style>
  <w:style w:type="paragraph" w:customStyle="1" w:styleId="Standard">
    <w:name w:val="Standard"/>
    <w:rsid w:val="00545B8B"/>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ootnote">
    <w:name w:val="Footnote"/>
    <w:basedOn w:val="Standard"/>
    <w:rsid w:val="00545B8B"/>
    <w:pPr>
      <w:suppressLineNumbers/>
      <w:ind w:left="283" w:hanging="283"/>
    </w:pPr>
    <w:rPr>
      <w:sz w:val="20"/>
      <w:szCs w:val="20"/>
    </w:rPr>
  </w:style>
  <w:style w:type="character" w:styleId="FootnoteReference">
    <w:name w:val="footnote reference"/>
    <w:basedOn w:val="DefaultParagraphFont"/>
    <w:rsid w:val="00545B8B"/>
    <w:rPr>
      <w:position w:val="0"/>
      <w:vertAlign w:val="superscript"/>
    </w:rPr>
  </w:style>
  <w:style w:type="numbering" w:customStyle="1" w:styleId="List0">
    <w:name w:val="List 0"/>
    <w:basedOn w:val="NoList"/>
    <w:rsid w:val="00987BAA"/>
    <w:pPr>
      <w:numPr>
        <w:numId w:val="2"/>
      </w:numPr>
    </w:pPr>
  </w:style>
  <w:style w:type="paragraph" w:customStyle="1" w:styleId="TableStyle2">
    <w:name w:val="Table Style 2"/>
    <w:rsid w:val="0092793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Revision">
    <w:name w:val="Revision"/>
    <w:hidden/>
    <w:uiPriority w:val="99"/>
    <w:semiHidden/>
    <w:rsid w:val="00525519"/>
    <w:pPr>
      <w:spacing w:after="0" w:line="240" w:lineRule="auto"/>
    </w:pPr>
    <w:rPr>
      <w:rFonts w:ascii="CG Times (W1)" w:eastAsia="Times New Roman" w:hAnsi="CG Times (W1)"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17"/>
    <w:pPr>
      <w:spacing w:after="0" w:line="240" w:lineRule="auto"/>
    </w:pPr>
    <w:rPr>
      <w:rFonts w:ascii="CG Times (W1)" w:eastAsia="Times New Roman" w:hAnsi="CG Times (W1)" w:cs="Times New Roman"/>
      <w:b/>
      <w:sz w:val="24"/>
      <w:szCs w:val="20"/>
    </w:rPr>
  </w:style>
  <w:style w:type="paragraph" w:styleId="Heading1">
    <w:name w:val="heading 1"/>
    <w:basedOn w:val="Normal"/>
    <w:next w:val="Normal"/>
    <w:link w:val="Heading1Char"/>
    <w:uiPriority w:val="9"/>
    <w:qFormat/>
    <w:rsid w:val="00F60259"/>
    <w:pPr>
      <w:keepNext/>
      <w:outlineLvl w:val="0"/>
    </w:pPr>
    <w:rPr>
      <w:rFonts w:asciiTheme="majorHAnsi" w:hAnsiTheme="majorHAns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417"/>
    <w:pPr>
      <w:spacing w:after="0" w:line="240" w:lineRule="auto"/>
    </w:pPr>
  </w:style>
  <w:style w:type="paragraph" w:styleId="NormalWeb">
    <w:name w:val="Normal (Web)"/>
    <w:basedOn w:val="Normal"/>
    <w:uiPriority w:val="99"/>
    <w:semiHidden/>
    <w:unhideWhenUsed/>
    <w:rsid w:val="00F4573D"/>
    <w:pPr>
      <w:spacing w:after="240"/>
    </w:pPr>
    <w:rPr>
      <w:rFonts w:ascii="Times New Roman" w:hAnsi="Times New Roman"/>
      <w:b w:val="0"/>
      <w:szCs w:val="24"/>
    </w:rPr>
  </w:style>
  <w:style w:type="paragraph" w:styleId="Header">
    <w:name w:val="header"/>
    <w:basedOn w:val="Normal"/>
    <w:link w:val="HeaderChar"/>
    <w:uiPriority w:val="99"/>
    <w:unhideWhenUsed/>
    <w:rsid w:val="009B7D4B"/>
    <w:pPr>
      <w:tabs>
        <w:tab w:val="center" w:pos="4680"/>
        <w:tab w:val="right" w:pos="9360"/>
      </w:tabs>
    </w:pPr>
  </w:style>
  <w:style w:type="character" w:customStyle="1" w:styleId="HeaderChar">
    <w:name w:val="Header Char"/>
    <w:basedOn w:val="DefaultParagraphFont"/>
    <w:link w:val="Header"/>
    <w:uiPriority w:val="99"/>
    <w:rsid w:val="009B7D4B"/>
    <w:rPr>
      <w:rFonts w:ascii="CG Times (W1)" w:eastAsia="Times New Roman" w:hAnsi="CG Times (W1)" w:cs="Times New Roman"/>
      <w:b/>
      <w:sz w:val="24"/>
      <w:szCs w:val="20"/>
    </w:rPr>
  </w:style>
  <w:style w:type="paragraph" w:styleId="Footer">
    <w:name w:val="footer"/>
    <w:basedOn w:val="Normal"/>
    <w:link w:val="FooterChar"/>
    <w:uiPriority w:val="99"/>
    <w:unhideWhenUsed/>
    <w:rsid w:val="009B7D4B"/>
    <w:pPr>
      <w:tabs>
        <w:tab w:val="center" w:pos="4680"/>
        <w:tab w:val="right" w:pos="9360"/>
      </w:tabs>
    </w:pPr>
  </w:style>
  <w:style w:type="character" w:customStyle="1" w:styleId="FooterChar">
    <w:name w:val="Footer Char"/>
    <w:basedOn w:val="DefaultParagraphFont"/>
    <w:link w:val="Footer"/>
    <w:uiPriority w:val="99"/>
    <w:rsid w:val="009B7D4B"/>
    <w:rPr>
      <w:rFonts w:ascii="CG Times (W1)" w:eastAsia="Times New Roman" w:hAnsi="CG Times (W1)" w:cs="Times New Roman"/>
      <w:b/>
      <w:sz w:val="24"/>
      <w:szCs w:val="20"/>
    </w:rPr>
  </w:style>
  <w:style w:type="paragraph" w:styleId="PlainText">
    <w:name w:val="Plain Text"/>
    <w:basedOn w:val="Normal"/>
    <w:link w:val="PlainTextChar"/>
    <w:unhideWhenUsed/>
    <w:rsid w:val="00004983"/>
    <w:rPr>
      <w:rFonts w:ascii="Consolas" w:eastAsiaTheme="minorHAnsi" w:hAnsi="Consolas" w:cstheme="minorBidi"/>
      <w:b w:val="0"/>
      <w:sz w:val="21"/>
      <w:szCs w:val="21"/>
    </w:rPr>
  </w:style>
  <w:style w:type="character" w:customStyle="1" w:styleId="PlainTextChar">
    <w:name w:val="Plain Text Char"/>
    <w:basedOn w:val="DefaultParagraphFont"/>
    <w:link w:val="PlainText"/>
    <w:uiPriority w:val="99"/>
    <w:rsid w:val="00004983"/>
    <w:rPr>
      <w:rFonts w:ascii="Consolas" w:hAnsi="Consolas"/>
      <w:sz w:val="21"/>
      <w:szCs w:val="21"/>
    </w:rPr>
  </w:style>
  <w:style w:type="character" w:customStyle="1" w:styleId="Heading1Char">
    <w:name w:val="Heading 1 Char"/>
    <w:basedOn w:val="DefaultParagraphFont"/>
    <w:link w:val="Heading1"/>
    <w:uiPriority w:val="9"/>
    <w:rsid w:val="00F60259"/>
    <w:rPr>
      <w:rFonts w:asciiTheme="majorHAnsi" w:eastAsia="Times New Roman" w:hAnsiTheme="majorHAnsi" w:cs="Times New Roman"/>
      <w:b/>
      <w:color w:val="365F91" w:themeColor="accent1" w:themeShade="BF"/>
      <w:sz w:val="28"/>
      <w:szCs w:val="28"/>
    </w:rPr>
  </w:style>
  <w:style w:type="paragraph" w:styleId="ListParagraph">
    <w:name w:val="List Paragraph"/>
    <w:basedOn w:val="Normal"/>
    <w:uiPriority w:val="34"/>
    <w:qFormat/>
    <w:rsid w:val="000D4762"/>
    <w:pPr>
      <w:ind w:left="720"/>
      <w:contextualSpacing/>
    </w:pPr>
    <w:rPr>
      <w:rFonts w:asciiTheme="minorHAnsi" w:eastAsiaTheme="minorHAnsi" w:hAnsiTheme="minorHAnsi"/>
      <w:b w:val="0"/>
      <w:szCs w:val="24"/>
    </w:rPr>
  </w:style>
  <w:style w:type="character" w:styleId="CommentReference">
    <w:name w:val="annotation reference"/>
    <w:basedOn w:val="DefaultParagraphFont"/>
    <w:uiPriority w:val="99"/>
    <w:semiHidden/>
    <w:unhideWhenUsed/>
    <w:rsid w:val="00763157"/>
    <w:rPr>
      <w:sz w:val="16"/>
      <w:szCs w:val="16"/>
    </w:rPr>
  </w:style>
  <w:style w:type="paragraph" w:styleId="CommentText">
    <w:name w:val="annotation text"/>
    <w:basedOn w:val="Normal"/>
    <w:link w:val="CommentTextChar"/>
    <w:uiPriority w:val="99"/>
    <w:unhideWhenUsed/>
    <w:rsid w:val="00763157"/>
    <w:rPr>
      <w:sz w:val="20"/>
    </w:rPr>
  </w:style>
  <w:style w:type="character" w:customStyle="1" w:styleId="CommentTextChar">
    <w:name w:val="Comment Text Char"/>
    <w:basedOn w:val="DefaultParagraphFont"/>
    <w:link w:val="CommentText"/>
    <w:uiPriority w:val="99"/>
    <w:rsid w:val="00763157"/>
    <w:rPr>
      <w:rFonts w:ascii="CG Times (W1)" w:eastAsia="Times New Roman" w:hAnsi="CG Times (W1)" w:cs="Times New Roman"/>
      <w:b/>
      <w:sz w:val="20"/>
      <w:szCs w:val="20"/>
    </w:rPr>
  </w:style>
  <w:style w:type="paragraph" w:styleId="CommentSubject">
    <w:name w:val="annotation subject"/>
    <w:basedOn w:val="CommentText"/>
    <w:next w:val="CommentText"/>
    <w:link w:val="CommentSubjectChar"/>
    <w:uiPriority w:val="99"/>
    <w:semiHidden/>
    <w:unhideWhenUsed/>
    <w:rsid w:val="00763157"/>
    <w:rPr>
      <w:bCs/>
    </w:rPr>
  </w:style>
  <w:style w:type="character" w:customStyle="1" w:styleId="CommentSubjectChar">
    <w:name w:val="Comment Subject Char"/>
    <w:basedOn w:val="CommentTextChar"/>
    <w:link w:val="CommentSubject"/>
    <w:uiPriority w:val="99"/>
    <w:semiHidden/>
    <w:rsid w:val="00763157"/>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763157"/>
    <w:rPr>
      <w:rFonts w:ascii="Tahoma" w:hAnsi="Tahoma" w:cs="Tahoma"/>
      <w:sz w:val="16"/>
      <w:szCs w:val="16"/>
    </w:rPr>
  </w:style>
  <w:style w:type="character" w:customStyle="1" w:styleId="BalloonTextChar">
    <w:name w:val="Balloon Text Char"/>
    <w:basedOn w:val="DefaultParagraphFont"/>
    <w:link w:val="BalloonText"/>
    <w:uiPriority w:val="99"/>
    <w:semiHidden/>
    <w:rsid w:val="00763157"/>
    <w:rPr>
      <w:rFonts w:ascii="Tahoma" w:eastAsia="Times New Roman" w:hAnsi="Tahoma" w:cs="Tahoma"/>
      <w:b/>
      <w:sz w:val="16"/>
      <w:szCs w:val="16"/>
    </w:rPr>
  </w:style>
  <w:style w:type="table" w:styleId="TableGrid">
    <w:name w:val="Table Grid"/>
    <w:basedOn w:val="TableNormal"/>
    <w:uiPriority w:val="59"/>
    <w:rsid w:val="0006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C41"/>
    <w:rPr>
      <w:color w:val="0000FF" w:themeColor="hyperlink"/>
      <w:u w:val="single"/>
    </w:rPr>
  </w:style>
  <w:style w:type="character" w:styleId="FollowedHyperlink">
    <w:name w:val="FollowedHyperlink"/>
    <w:basedOn w:val="DefaultParagraphFont"/>
    <w:uiPriority w:val="99"/>
    <w:semiHidden/>
    <w:unhideWhenUsed/>
    <w:rsid w:val="00AB2BDD"/>
    <w:rPr>
      <w:color w:val="800080" w:themeColor="followedHyperlink"/>
      <w:u w:val="single"/>
    </w:rPr>
  </w:style>
  <w:style w:type="paragraph" w:customStyle="1" w:styleId="Default">
    <w:name w:val="Default"/>
    <w:rsid w:val="00BE4FE9"/>
    <w:pPr>
      <w:autoSpaceDE w:val="0"/>
      <w:autoSpaceDN w:val="0"/>
      <w:adjustRightInd w:val="0"/>
      <w:spacing w:after="0" w:line="240" w:lineRule="auto"/>
    </w:pPr>
    <w:rPr>
      <w:rFonts w:ascii="Calibri" w:hAnsi="Calibri" w:cs="Calibri"/>
      <w:color w:val="000000"/>
      <w:sz w:val="24"/>
      <w:szCs w:val="24"/>
    </w:rPr>
  </w:style>
  <w:style w:type="paragraph" w:customStyle="1" w:styleId="TableContents">
    <w:name w:val="Table Contents"/>
    <w:basedOn w:val="Normal"/>
    <w:rsid w:val="00690A80"/>
    <w:pPr>
      <w:suppressLineNumbers/>
      <w:suppressAutoHyphens/>
      <w:autoSpaceDN w:val="0"/>
      <w:textAlignment w:val="baseline"/>
    </w:pPr>
    <w:rPr>
      <w:rFonts w:ascii="Times New Roman" w:eastAsia="Arial Unicode MS" w:hAnsi="Times New Roman" w:cs="Arial Unicode MS"/>
      <w:b w:val="0"/>
      <w:kern w:val="3"/>
      <w:szCs w:val="24"/>
      <w:lang w:eastAsia="zh-CN" w:bidi="hi-IN"/>
    </w:rPr>
  </w:style>
  <w:style w:type="paragraph" w:customStyle="1" w:styleId="Standard">
    <w:name w:val="Standard"/>
    <w:rsid w:val="00545B8B"/>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ootnote">
    <w:name w:val="Footnote"/>
    <w:basedOn w:val="Standard"/>
    <w:rsid w:val="00545B8B"/>
    <w:pPr>
      <w:suppressLineNumbers/>
      <w:ind w:left="283" w:hanging="283"/>
    </w:pPr>
    <w:rPr>
      <w:sz w:val="20"/>
      <w:szCs w:val="20"/>
    </w:rPr>
  </w:style>
  <w:style w:type="character" w:styleId="FootnoteReference">
    <w:name w:val="footnote reference"/>
    <w:basedOn w:val="DefaultParagraphFont"/>
    <w:rsid w:val="00545B8B"/>
    <w:rPr>
      <w:position w:val="0"/>
      <w:vertAlign w:val="superscript"/>
    </w:rPr>
  </w:style>
  <w:style w:type="numbering" w:customStyle="1" w:styleId="List0">
    <w:name w:val="List 0"/>
    <w:basedOn w:val="NoList"/>
    <w:rsid w:val="00987BAA"/>
    <w:pPr>
      <w:numPr>
        <w:numId w:val="2"/>
      </w:numPr>
    </w:pPr>
  </w:style>
  <w:style w:type="paragraph" w:customStyle="1" w:styleId="TableStyle2">
    <w:name w:val="Table Style 2"/>
    <w:rsid w:val="0092793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Revision">
    <w:name w:val="Revision"/>
    <w:hidden/>
    <w:uiPriority w:val="99"/>
    <w:semiHidden/>
    <w:rsid w:val="00525519"/>
    <w:pPr>
      <w:spacing w:after="0" w:line="240" w:lineRule="auto"/>
    </w:pPr>
    <w:rPr>
      <w:rFonts w:ascii="CG Times (W1)" w:eastAsia="Times New Roman" w:hAnsi="CG Times (W1)"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948">
      <w:bodyDiv w:val="1"/>
      <w:marLeft w:val="0"/>
      <w:marRight w:val="0"/>
      <w:marTop w:val="0"/>
      <w:marBottom w:val="0"/>
      <w:divBdr>
        <w:top w:val="none" w:sz="0" w:space="0" w:color="auto"/>
        <w:left w:val="none" w:sz="0" w:space="0" w:color="auto"/>
        <w:bottom w:val="none" w:sz="0" w:space="0" w:color="auto"/>
        <w:right w:val="none" w:sz="0" w:space="0" w:color="auto"/>
      </w:divBdr>
    </w:div>
    <w:div w:id="254628538">
      <w:bodyDiv w:val="1"/>
      <w:marLeft w:val="0"/>
      <w:marRight w:val="0"/>
      <w:marTop w:val="0"/>
      <w:marBottom w:val="0"/>
      <w:divBdr>
        <w:top w:val="none" w:sz="0" w:space="0" w:color="auto"/>
        <w:left w:val="none" w:sz="0" w:space="0" w:color="auto"/>
        <w:bottom w:val="none" w:sz="0" w:space="0" w:color="auto"/>
        <w:right w:val="none" w:sz="0" w:space="0" w:color="auto"/>
      </w:divBdr>
      <w:divsChild>
        <w:div w:id="1604845728">
          <w:marLeft w:val="0"/>
          <w:marRight w:val="0"/>
          <w:marTop w:val="0"/>
          <w:marBottom w:val="0"/>
          <w:divBdr>
            <w:top w:val="none" w:sz="0" w:space="0" w:color="auto"/>
            <w:left w:val="none" w:sz="0" w:space="0" w:color="auto"/>
            <w:bottom w:val="none" w:sz="0" w:space="0" w:color="auto"/>
            <w:right w:val="none" w:sz="0" w:space="0" w:color="auto"/>
          </w:divBdr>
          <w:divsChild>
            <w:div w:id="1666084757">
              <w:marLeft w:val="0"/>
              <w:marRight w:val="0"/>
              <w:marTop w:val="0"/>
              <w:marBottom w:val="0"/>
              <w:divBdr>
                <w:top w:val="none" w:sz="0" w:space="0" w:color="auto"/>
                <w:left w:val="none" w:sz="0" w:space="0" w:color="auto"/>
                <w:bottom w:val="none" w:sz="0" w:space="0" w:color="auto"/>
                <w:right w:val="none" w:sz="0" w:space="0" w:color="auto"/>
              </w:divBdr>
              <w:divsChild>
                <w:div w:id="1040130159">
                  <w:marLeft w:val="0"/>
                  <w:marRight w:val="0"/>
                  <w:marTop w:val="0"/>
                  <w:marBottom w:val="0"/>
                  <w:divBdr>
                    <w:top w:val="none" w:sz="0" w:space="0" w:color="auto"/>
                    <w:left w:val="none" w:sz="0" w:space="0" w:color="auto"/>
                    <w:bottom w:val="none" w:sz="0" w:space="0" w:color="auto"/>
                    <w:right w:val="none" w:sz="0" w:space="0" w:color="auto"/>
                  </w:divBdr>
                  <w:divsChild>
                    <w:div w:id="384915197">
                      <w:marLeft w:val="0"/>
                      <w:marRight w:val="0"/>
                      <w:marTop w:val="0"/>
                      <w:marBottom w:val="0"/>
                      <w:divBdr>
                        <w:top w:val="none" w:sz="0" w:space="0" w:color="auto"/>
                        <w:left w:val="none" w:sz="0" w:space="0" w:color="auto"/>
                        <w:bottom w:val="none" w:sz="0" w:space="0" w:color="auto"/>
                        <w:right w:val="none" w:sz="0" w:space="0" w:color="auto"/>
                      </w:divBdr>
                      <w:divsChild>
                        <w:div w:id="1682387428">
                          <w:marLeft w:val="0"/>
                          <w:marRight w:val="0"/>
                          <w:marTop w:val="0"/>
                          <w:marBottom w:val="0"/>
                          <w:divBdr>
                            <w:top w:val="none" w:sz="0" w:space="0" w:color="auto"/>
                            <w:left w:val="none" w:sz="0" w:space="0" w:color="auto"/>
                            <w:bottom w:val="none" w:sz="0" w:space="0" w:color="auto"/>
                            <w:right w:val="none" w:sz="0" w:space="0" w:color="auto"/>
                          </w:divBdr>
                          <w:divsChild>
                            <w:div w:id="3963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057937">
      <w:bodyDiv w:val="1"/>
      <w:marLeft w:val="0"/>
      <w:marRight w:val="0"/>
      <w:marTop w:val="0"/>
      <w:marBottom w:val="0"/>
      <w:divBdr>
        <w:top w:val="none" w:sz="0" w:space="0" w:color="auto"/>
        <w:left w:val="none" w:sz="0" w:space="0" w:color="auto"/>
        <w:bottom w:val="none" w:sz="0" w:space="0" w:color="auto"/>
        <w:right w:val="none" w:sz="0" w:space="0" w:color="auto"/>
      </w:divBdr>
    </w:div>
    <w:div w:id="963661314">
      <w:bodyDiv w:val="1"/>
      <w:marLeft w:val="0"/>
      <w:marRight w:val="0"/>
      <w:marTop w:val="0"/>
      <w:marBottom w:val="0"/>
      <w:divBdr>
        <w:top w:val="none" w:sz="0" w:space="0" w:color="auto"/>
        <w:left w:val="none" w:sz="0" w:space="0" w:color="auto"/>
        <w:bottom w:val="none" w:sz="0" w:space="0" w:color="auto"/>
        <w:right w:val="none" w:sz="0" w:space="0" w:color="auto"/>
      </w:divBdr>
    </w:div>
    <w:div w:id="968586165">
      <w:bodyDiv w:val="1"/>
      <w:marLeft w:val="0"/>
      <w:marRight w:val="0"/>
      <w:marTop w:val="0"/>
      <w:marBottom w:val="0"/>
      <w:divBdr>
        <w:top w:val="none" w:sz="0" w:space="0" w:color="auto"/>
        <w:left w:val="none" w:sz="0" w:space="0" w:color="auto"/>
        <w:bottom w:val="none" w:sz="0" w:space="0" w:color="auto"/>
        <w:right w:val="none" w:sz="0" w:space="0" w:color="auto"/>
      </w:divBdr>
    </w:div>
    <w:div w:id="969752170">
      <w:bodyDiv w:val="1"/>
      <w:marLeft w:val="0"/>
      <w:marRight w:val="0"/>
      <w:marTop w:val="0"/>
      <w:marBottom w:val="0"/>
      <w:divBdr>
        <w:top w:val="none" w:sz="0" w:space="0" w:color="auto"/>
        <w:left w:val="none" w:sz="0" w:space="0" w:color="auto"/>
        <w:bottom w:val="none" w:sz="0" w:space="0" w:color="auto"/>
        <w:right w:val="none" w:sz="0" w:space="0" w:color="auto"/>
      </w:divBdr>
      <w:divsChild>
        <w:div w:id="998194956">
          <w:marLeft w:val="0"/>
          <w:marRight w:val="0"/>
          <w:marTop w:val="0"/>
          <w:marBottom w:val="0"/>
          <w:divBdr>
            <w:top w:val="none" w:sz="0" w:space="0" w:color="auto"/>
            <w:left w:val="none" w:sz="0" w:space="0" w:color="auto"/>
            <w:bottom w:val="none" w:sz="0" w:space="0" w:color="auto"/>
            <w:right w:val="none" w:sz="0" w:space="0" w:color="auto"/>
          </w:divBdr>
          <w:divsChild>
            <w:div w:id="1714111834">
              <w:marLeft w:val="0"/>
              <w:marRight w:val="0"/>
              <w:marTop w:val="0"/>
              <w:marBottom w:val="0"/>
              <w:divBdr>
                <w:top w:val="none" w:sz="0" w:space="0" w:color="auto"/>
                <w:left w:val="none" w:sz="0" w:space="0" w:color="auto"/>
                <w:bottom w:val="none" w:sz="0" w:space="0" w:color="auto"/>
                <w:right w:val="none" w:sz="0" w:space="0" w:color="auto"/>
              </w:divBdr>
              <w:divsChild>
                <w:div w:id="904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9964">
      <w:bodyDiv w:val="1"/>
      <w:marLeft w:val="0"/>
      <w:marRight w:val="0"/>
      <w:marTop w:val="0"/>
      <w:marBottom w:val="0"/>
      <w:divBdr>
        <w:top w:val="none" w:sz="0" w:space="0" w:color="auto"/>
        <w:left w:val="none" w:sz="0" w:space="0" w:color="auto"/>
        <w:bottom w:val="none" w:sz="0" w:space="0" w:color="auto"/>
        <w:right w:val="none" w:sz="0" w:space="0" w:color="auto"/>
      </w:divBdr>
      <w:divsChild>
        <w:div w:id="340359713">
          <w:marLeft w:val="1166"/>
          <w:marRight w:val="0"/>
          <w:marTop w:val="125"/>
          <w:marBottom w:val="120"/>
          <w:divBdr>
            <w:top w:val="none" w:sz="0" w:space="0" w:color="auto"/>
            <w:left w:val="none" w:sz="0" w:space="0" w:color="auto"/>
            <w:bottom w:val="none" w:sz="0" w:space="0" w:color="auto"/>
            <w:right w:val="none" w:sz="0" w:space="0" w:color="auto"/>
          </w:divBdr>
        </w:div>
      </w:divsChild>
    </w:div>
    <w:div w:id="1744641041">
      <w:bodyDiv w:val="1"/>
      <w:marLeft w:val="0"/>
      <w:marRight w:val="0"/>
      <w:marTop w:val="0"/>
      <w:marBottom w:val="0"/>
      <w:divBdr>
        <w:top w:val="none" w:sz="0" w:space="0" w:color="auto"/>
        <w:left w:val="none" w:sz="0" w:space="0" w:color="auto"/>
        <w:bottom w:val="none" w:sz="0" w:space="0" w:color="auto"/>
        <w:right w:val="none" w:sz="0" w:space="0" w:color="auto"/>
      </w:divBdr>
    </w:div>
    <w:div w:id="1758943757">
      <w:bodyDiv w:val="1"/>
      <w:marLeft w:val="0"/>
      <w:marRight w:val="0"/>
      <w:marTop w:val="0"/>
      <w:marBottom w:val="0"/>
      <w:divBdr>
        <w:top w:val="none" w:sz="0" w:space="0" w:color="auto"/>
        <w:left w:val="none" w:sz="0" w:space="0" w:color="auto"/>
        <w:bottom w:val="none" w:sz="0" w:space="0" w:color="auto"/>
        <w:right w:val="none" w:sz="0" w:space="0" w:color="auto"/>
      </w:divBdr>
    </w:div>
    <w:div w:id="18373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o.gov/cofa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cfr.gov/cgi-bin/text-idx?SID=704835d27377ef5213a51c149de40cab&amp;node=2:1.1.2.2.1&amp;rgn=div5"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cogr.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7D09-D926-4AC9-A2EB-4B9FCAC1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20</Pages>
  <Words>6759</Words>
  <Characters>38528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Kennedy</dc:creator>
  <cp:lastModifiedBy>David Kennedy</cp:lastModifiedBy>
  <cp:revision>21</cp:revision>
  <cp:lastPrinted>2014-12-12T16:34:00Z</cp:lastPrinted>
  <dcterms:created xsi:type="dcterms:W3CDTF">2014-12-11T19:20:00Z</dcterms:created>
  <dcterms:modified xsi:type="dcterms:W3CDTF">2014-12-12T16:42:00Z</dcterms:modified>
</cp:coreProperties>
</file>